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1F3B5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7"/>
                <w:szCs w:val="27"/>
              </w:rPr>
              <w:t xml:space="preserve">First-Clean Readiness Gate</w:t>
            </w:r>
          </w:p>
        </w:tc>
      </w:tr>
      <w:tr>
        <w:tc>
          <w:tcPr>
            <w:tcW w:type="dxa" w:w="9360"/>
            <w:shd w:fill="2E6E8E" w:val="clear"/>
            <w:tcMar>
              <w:top w:type="dxa" w:w="80"/>
              <w:left w:type="dxa" w:w="180"/>
              <w:bottom w:type="dxa" w:w="8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FFFFFF"/>
                <w:sz w:val="18"/>
                <w:szCs w:val="18"/>
              </w:rPr>
              <w:t xml:space="preserve">The STR Cleaning Blueprint™  ·  Chapter 5  ·  Operations Vault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p>
      <w:pPr>
        <w:spacing w:after="12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21"/>
          <w:szCs w:val="21"/>
        </w:rPr>
        <w:t xml:space="preserve">Purpose.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>The formal decision point between onboarding and live service. It confirms critical dependencies are complete, exceptions are visible, and whoever accepts unresolved risk understands it. A blocking item prevents launch.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READINESS GATE — CONFIRM OR BLOCK</w:t>
            </w:r>
          </w:p>
        </w:tc>
      </w:tr>
    </w:tbl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Scope and price agreed; onboarding/launch charge quoted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Final property list / billing confirmed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Primary and backup access verified on site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Property Knowledge Book substantially complete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Cleaning, photo, and inspection standards aligned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Linen and supply responsibilities documented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Communication and escalation routes tested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Approval limits documented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Initial schedule reviewed against capacity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Staffing, training, and backup coverage confirmed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Critical safety information captured</w:t>
      </w:r>
    </w:p>
    <w:p>
      <w:pPr>
        <w:spacing w:after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AF1F5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RED · YELLOW · GREEN</w:t>
            </w:r>
          </w:p>
          <w:p>
            <w:pPr>
              <w:spacing w:after="4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GREEN — launch. YELLOW — launch with a documented, dated action owner. RED (blocking) — do not launch: it creates unacceptable guest, property, employee, or financial risk. Name the decision owner.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LAUNCH DECISION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00"/>
        <w:gridCol w:w="5760"/>
      </w:tblGrid>
      <w:tr>
        <w:tc>
          <w:tcPr>
            <w:tcW w:type="dxa" w:w="3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Decision (Green / Yellow / Red)</w:t>
            </w:r>
          </w:p>
        </w:tc>
        <w:tc>
          <w:tcPr>
            <w:tcW w:type="dxa" w:w="5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Blocking items (if Red)</w:t>
            </w:r>
          </w:p>
        </w:tc>
        <w:tc>
          <w:tcPr>
            <w:tcW w:type="dxa" w:w="5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Decision owner &amp; date</w:t>
            </w:r>
          </w:p>
        </w:tc>
        <w:tc>
          <w:tcPr>
            <w:tcW w:type="dxa" w:w="5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LIVE TAKEOVER — WHEN THERE IS NO VACANT WINDOW</w:t>
            </w:r>
          </w:p>
        </w:tc>
      </w:tr>
    </w:tbl>
    <w:p>
      <w:pPr>
        <w:spacing w:after="120" w:before="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9"/>
          <w:szCs w:val="19"/>
        </w:rPr>
        <w:t xml:space="preserve">Taking over mid-season with reservations already booked is a controlled transition under uncertainty, not normal onboarding done faster. Separate what must be known before the next service from what can stabilize over the following days.</w:t>
      </w:r>
    </w:p>
    <w:p>
      <w:pPr>
        <w:spacing w:after="12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9"/>
          <w:szCs w:val="19"/>
        </w:rPr>
        <w:t xml:space="preserve">Unknowns register — visible, owned, dated: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200"/>
        <w:gridCol w:w="700"/>
        <w:gridCol w:w="1300"/>
        <w:gridCol w:w="3160"/>
      </w:tblGrid>
      <w:tr>
        <w:trPr>
          <w:tblHeader/>
        </w:trPr>
        <w:tc>
          <w:tcPr>
            <w:tcW w:type="dxa" w:w="4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7"/>
                <w:szCs w:val="17"/>
              </w:rPr>
              <w:t xml:space="preserve">Missing fact / temporary rule</w:t>
            </w:r>
          </w:p>
        </w:tc>
        <w:tc>
          <w:tcPr>
            <w:tcW w:type="dxa" w:w="7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7"/>
                <w:szCs w:val="17"/>
              </w:rPr>
              <w:t xml:space="preserve">OK</w:t>
            </w:r>
          </w:p>
        </w:tc>
        <w:tc>
          <w:tcPr>
            <w:tcW w:type="dxa" w:w="1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7"/>
                <w:szCs w:val="17"/>
              </w:rPr>
              <w:t xml:space="preserve">Owner</w:t>
            </w:r>
          </w:p>
        </w:tc>
        <w:tc>
          <w:tcPr>
            <w:tcW w:type="dxa" w:w="31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7"/>
                <w:szCs w:val="17"/>
              </w:rPr>
              <w:t xml:space="preserve">Deadline</w:t>
            </w:r>
          </w:p>
        </w:tc>
      </w:tr>
      <w:tr>
        <w:tc>
          <w:tcPr>
            <w:tcW w:type="dxa" w:w="4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/>
            </w:r>
          </w:p>
        </w:tc>
        <w:tc>
          <w:tcPr>
            <w:tcW w:type="dxa" w:w="7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55555"/>
                <w:sz w:val="22"/>
                <w:szCs w:val="22"/>
              </w:rPr>
              <w:t xml:space="preserve">☐</w:t>
            </w:r>
          </w:p>
        </w:tc>
        <w:tc>
          <w:tcPr>
            <w:tcW w:type="dxa" w:w="1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  <w:tc>
          <w:tcPr>
            <w:tcW w:type="dxa" w:w="31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4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/>
            </w:r>
          </w:p>
        </w:tc>
        <w:tc>
          <w:tcPr>
            <w:tcW w:type="dxa" w:w="7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55555"/>
                <w:sz w:val="22"/>
                <w:szCs w:val="22"/>
              </w:rPr>
              <w:t xml:space="preserve">☐</w:t>
            </w:r>
          </w:p>
        </w:tc>
        <w:tc>
          <w:tcPr>
            <w:tcW w:type="dxa" w:w="1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  <w:tc>
          <w:tcPr>
            <w:tcW w:type="dxa" w:w="31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4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/>
            </w:r>
          </w:p>
        </w:tc>
        <w:tc>
          <w:tcPr>
            <w:tcW w:type="dxa" w:w="7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55555"/>
                <w:sz w:val="22"/>
                <w:szCs w:val="22"/>
              </w:rPr>
              <w:t xml:space="preserve">☐</w:t>
            </w:r>
          </w:p>
        </w:tc>
        <w:tc>
          <w:tcPr>
            <w:tcW w:type="dxa" w:w="1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  <w:tc>
          <w:tcPr>
            <w:tcW w:type="dxa" w:w="31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</w:tr>
    </w:tbl>
    <w:p>
      <w:pPr>
        <w:spacing w:after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AF1F5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CONDITIONAL LAUNCH ≠ FULL APPROVAL</w:t>
            </w:r>
          </w:p>
          <w:p>
            <w:pPr>
              <w:spacing w:after="4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A property may be serviceable for one reservation while still failing the normal readiness standard. Document the exception, communicate the limitation, price the extra effort, and set a deadline to finish onboarding.</w:t>
            </w:r>
          </w:p>
        </w:tc>
      </w:tr>
    </w:tbl>
    <w:p>
      <w:pPr>
        <w:spacing w:after="120" w:before="12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6"/>
          <w:szCs w:val="16"/>
        </w:rPr>
        <w:t xml:space="preserve">A planning instrument, not a guarantee of business success. Vendor-neutral — usable with any tools, team structure, or software.  ·  The STR Cleaning Blueprint™</w:t>
      </w:r>
    </w:p>
    <w:p>
      <w:pPr>
        <w:sectPr>
          <w:pgSz w:w="12240" w:h="15840" w:orient="portrait"/>
          <w:pgMar w:top="1080" w:right="1440" w:bottom="1080" w:left="1440" w:header="708" w:footer="708" w:gutter="0"/>
          <w:pgNumType/>
          <w:docGrid w:linePitch="360"/>
        </w:sectPr>
      </w:pP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1F3B5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7"/>
                <w:szCs w:val="27"/>
              </w:rPr>
              <w:t xml:space="preserve">First-Clean Readiness Gate — Worked Example</w:t>
            </w:r>
          </w:p>
        </w:tc>
      </w:tr>
      <w:tr>
        <w:tc>
          <w:tcPr>
            <w:tcW w:type="dxa" w:w="9360"/>
            <w:shd w:fill="2E6E8E" w:val="clear"/>
            <w:tcMar>
              <w:top w:type="dxa" w:w="80"/>
              <w:left w:type="dxa" w:w="180"/>
              <w:bottom w:type="dxa" w:w="8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FFFFFF"/>
                <w:sz w:val="18"/>
                <w:szCs w:val="18"/>
              </w:rPr>
              <w:t xml:space="preserve">The STR Cleaning Blueprint™  ·  Chapter 5  ·  Operations Vault   |   Summit Cleaning Solutions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p>
      <w:pPr>
        <w:spacing w:after="120" w:before="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21"/>
          <w:szCs w:val="21"/>
        </w:rPr>
        <w:t xml:space="preserve">Emily's readiness decision for Lakeview Retreat — green except one tracked item.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READINESS GATE — CONFIRM OR BLOCK</w:t>
            </w:r>
          </w:p>
        </w:tc>
      </w:tr>
    </w:tbl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Scope and price agreed; onboarding/launch charge quoted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Final property list / billing confirmed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Primary and backup access verified on site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Property Knowledge Book substantially complete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Cleaning, photo, and inspection standards aligned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Linen and supply responsibilities documented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Communication and escalation routes tested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Approval limits documented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Initial schedule reviewed against capacity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Staffing, training, and backup coverage confirmed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Critical safety information captured</w:t>
      </w:r>
    </w:p>
    <w:p>
      <w:pPr>
        <w:spacing w:after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AF1F5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RED · YELLOW · GREEN</w:t>
            </w:r>
          </w:p>
          <w:p>
            <w:pPr>
              <w:spacing w:after="4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GREEN — launch. YELLOW — launch with a documented, dated action owner. RED (blocking) — do not launch: it creates unacceptable guest, property, employee, or financial risk. Name the decision owner.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LAUNCH DECISION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00"/>
        <w:gridCol w:w="5760"/>
      </w:tblGrid>
      <w:tr>
        <w:tc>
          <w:tcPr>
            <w:tcW w:type="dxa" w:w="3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Decision (Green / Yellow / Red)</w:t>
            </w:r>
          </w:p>
        </w:tc>
        <w:tc>
          <w:tcPr>
            <w:tcW w:type="dxa" w:w="5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Yellow → Green once linen set replaced</w:t>
            </w:r>
          </w:p>
        </w:tc>
      </w:tr>
      <w:tr>
        <w:tc>
          <w:tcPr>
            <w:tcW w:type="dxa" w:w="3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Blocking items (if Red)</w:t>
            </w:r>
          </w:p>
        </w:tc>
        <w:tc>
          <w:tcPr>
            <w:tcW w:type="dxa" w:w="5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None</w:t>
            </w:r>
          </w:p>
        </w:tc>
      </w:tr>
      <w:tr>
        <w:tc>
          <w:tcPr>
            <w:tcW w:type="dxa" w:w="3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Decision owner &amp; date</w:t>
            </w:r>
          </w:p>
        </w:tc>
        <w:tc>
          <w:tcPr>
            <w:tcW w:type="dxa" w:w="5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Emily · [date]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LIVE TAKEOVER — WHEN THERE IS NO VACANT WINDOW</w:t>
            </w:r>
          </w:p>
        </w:tc>
      </w:tr>
    </w:tbl>
    <w:p>
      <w:pPr>
        <w:spacing w:after="120" w:before="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9"/>
          <w:szCs w:val="19"/>
        </w:rPr>
        <w:t xml:space="preserve">Taking over mid-season with reservations already booked is a controlled transition under uncertainty, not normal onboarding done faster. Separate what must be known before the next service from what can stabilize over the following days.</w:t>
      </w:r>
    </w:p>
    <w:p>
      <w:pPr>
        <w:spacing w:after="12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9"/>
          <w:szCs w:val="19"/>
        </w:rPr>
        <w:t xml:space="preserve">Unknowns register — visible, owned, dated: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200"/>
        <w:gridCol w:w="700"/>
        <w:gridCol w:w="1300"/>
        <w:gridCol w:w="3160"/>
      </w:tblGrid>
      <w:tr>
        <w:trPr>
          <w:tblHeader/>
        </w:trPr>
        <w:tc>
          <w:tcPr>
            <w:tcW w:type="dxa" w:w="4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7"/>
                <w:szCs w:val="17"/>
              </w:rPr>
              <w:t xml:space="preserve">Missing fact / temporary rule</w:t>
            </w:r>
          </w:p>
        </w:tc>
        <w:tc>
          <w:tcPr>
            <w:tcW w:type="dxa" w:w="7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7"/>
                <w:szCs w:val="17"/>
              </w:rPr>
              <w:t xml:space="preserve">OK</w:t>
            </w:r>
          </w:p>
        </w:tc>
        <w:tc>
          <w:tcPr>
            <w:tcW w:type="dxa" w:w="1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7"/>
                <w:szCs w:val="17"/>
              </w:rPr>
              <w:t xml:space="preserve">Owner</w:t>
            </w:r>
          </w:p>
        </w:tc>
        <w:tc>
          <w:tcPr>
            <w:tcW w:type="dxa" w:w="31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7"/>
                <w:szCs w:val="17"/>
              </w:rPr>
              <w:t xml:space="preserve">Deadline</w:t>
            </w:r>
          </w:p>
        </w:tc>
      </w:tr>
      <w:tr>
        <w:tc>
          <w:tcPr>
            <w:tcW w:type="dxa" w:w="4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Example: confirmed working access for next reservation</w:t>
            </w:r>
          </w:p>
        </w:tc>
        <w:tc>
          <w:tcPr>
            <w:tcW w:type="dxa" w:w="7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5F0E5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2E7D32"/>
                <w:sz w:val="22"/>
                <w:szCs w:val="22"/>
              </w:rPr>
              <w:t xml:space="preserve">✔</w:t>
            </w:r>
          </w:p>
        </w:tc>
        <w:tc>
          <w:tcPr>
            <w:tcW w:type="dxa" w:w="1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7"/>
                <w:szCs w:val="17"/>
              </w:rPr>
              <w:t xml:space="preserve">PM</w:t>
            </w:r>
          </w:p>
        </w:tc>
        <w:tc>
          <w:tcPr>
            <w:tcW w:type="dxa" w:w="31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7"/>
                <w:szCs w:val="17"/>
              </w:rPr>
              <w:t xml:space="preserve">Confirmed</w:t>
            </w:r>
          </w:p>
        </w:tc>
      </w:tr>
      <w:tr>
        <w:tc>
          <w:tcPr>
            <w:tcW w:type="dxa" w:w="4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Example: verified linen for one back-to-back</w:t>
            </w:r>
          </w:p>
        </w:tc>
        <w:tc>
          <w:tcPr>
            <w:tcW w:type="dxa" w:w="7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55555"/>
                <w:sz w:val="22"/>
                <w:szCs w:val="22"/>
              </w:rPr>
              <w:t xml:space="preserve">☐</w:t>
            </w:r>
          </w:p>
        </w:tc>
        <w:tc>
          <w:tcPr>
            <w:tcW w:type="dxa" w:w="1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7"/>
                <w:szCs w:val="17"/>
              </w:rPr>
              <w:t xml:space="preserve">Emily</w:t>
            </w:r>
          </w:p>
        </w:tc>
        <w:tc>
          <w:tcPr>
            <w:tcW w:type="dxa" w:w="31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7"/>
                <w:szCs w:val="17"/>
              </w:rPr>
              <w:t xml:space="preserve">Before Sat turn</w:t>
            </w:r>
          </w:p>
        </w:tc>
      </w:tr>
    </w:tbl>
    <w:p>
      <w:pPr>
        <w:spacing w:after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AF1F5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CONDITIONAL LAUNCH ≠ FULL APPROVAL</w:t>
            </w:r>
          </w:p>
          <w:p>
            <w:pPr>
              <w:spacing w:after="4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A property may be serviceable for one reservation while still failing the normal readiness standard. Document the exception, communicate the limitation, price the extra effort, and set a deadline to finish onboarding.</w:t>
            </w:r>
          </w:p>
        </w:tc>
      </w:tr>
    </w:tbl>
    <w:p>
      <w:pPr>
        <w:spacing w:after="120" w:before="12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6"/>
          <w:szCs w:val="16"/>
        </w:rPr>
        <w:t xml:space="preserve">A planning instrument, not a guarantee of business success. Vendor-neutral — usable with any tools, team structure, or software.  ·  The STR Cleaning Blueprint™</w:t>
      </w:r>
    </w:p>
    <w:sectPr>
      <w:pgSz w:w="12240" w:h="15840" w:orient="portrait"/>
      <w:pgMar w:top="1080" w:right="1440" w:bottom="108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2026-07-31T14:05:35.159Z</dcterms:created>
  <dcterms:modified xsi:type="dcterms:W3CDTF">2026-07-31T14:05:35.159Z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