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left w:val="none"/>
          <w:bottom w:val="none"/>
          <w:right w:val="none"/>
          <w:insideH w:val="none"/>
          <w:insideV w:val="none"/>
        </w:tblBorders>
      </w:tblPr>
      <w:tblGrid>
        <w:gridCol w:w="9360"/>
      </w:tblGrid>
      <w:tr>
        <w:tc>
          <w:tcPr>
            <w:tcW w:type="dxa" w:w="9360"/>
            <w:shd w:fill="1F3B57" w:val="clear"/>
            <w:tcMar>
              <w:top w:type="dxa" w:w="120"/>
              <w:left w:type="dxa" w:w="180"/>
              <w:bottom w:type="dxa" w:w="120"/>
              <w:right w:type="dxa" w:w="180"/>
            </w:tcMar>
          </w:tcPr>
          <w:p>
            <w:pPr>
              <w:spacing w:after="0"/>
            </w:pPr>
            <w:r>
              <w:rPr>
                <w:rFonts w:ascii="Arial" w:cs="Arial" w:eastAsia="Arial" w:hAnsi="Arial"/>
                <w:b/>
                <w:bCs/>
                <w:i w:val="false"/>
                <w:iCs w:val="false"/>
                <w:color w:val="FFFFFF"/>
                <w:sz w:val="27"/>
                <w:szCs w:val="27"/>
              </w:rPr>
              <w:t xml:space="preserve">STR Operations Platform Evaluation Guide</w:t>
            </w:r>
          </w:p>
        </w:tc>
      </w:tr>
      <w:tr>
        <w:tc>
          <w:tcPr>
            <w:tcW w:type="dxa" w:w="9360"/>
            <w:shd w:fill="2E6E8E" w:val="clear"/>
            <w:tcMar>
              <w:top w:type="dxa" w:w="80"/>
              <w:left w:type="dxa" w:w="180"/>
              <w:bottom w:type="dxa" w:w="80"/>
              <w:right w:type="dxa" w:w="180"/>
            </w:tcMar>
          </w:tcPr>
          <w:p>
            <w:pPr>
              <w:spacing w:after="0"/>
            </w:pPr>
            <w:r>
              <w:rPr>
                <w:rFonts w:ascii="Arial" w:cs="Arial" w:eastAsia="Arial" w:hAnsi="Arial"/>
                <w:b w:val="false"/>
                <w:bCs w:val="false"/>
                <w:i w:val="false"/>
                <w:iCs w:val="false"/>
                <w:color w:val="FFFFFF"/>
                <w:sz w:val="18"/>
                <w:szCs w:val="18"/>
              </w:rPr>
              <w:t xml:space="preserve">The STR Cleaning Blueprint™  ·  Chapter 6  ·  Operations Vault</w:t>
            </w:r>
          </w:p>
        </w:tc>
      </w:tr>
    </w:tbl>
    <w:p>
      <w:pPr>
        <w:spacing w:after="80"/>
      </w:pPr>
      <w:r>
        <w:rPr>
          <w:rFonts w:ascii="Arial" w:cs="Arial" w:eastAsia="Arial" w:hAnsi="Arial"/>
          <w:b w:val="false"/>
          <w:bCs w:val="false"/>
          <w:i w:val="false"/>
          <w:iCs w:val="false"/>
          <w:color w:val="000000"/>
          <w:sz w:val="21"/>
          <w:szCs w:val="21"/>
        </w:rPr>
        <w:t xml:space="preserve"/>
      </w:r>
    </w:p>
    <w:p>
      <w:pPr>
        <w:spacing w:after="120" w:before="0" w:line="276"/>
        <w:jc w:val="left"/>
      </w:pPr>
      <w:r>
        <w:rPr>
          <w:rFonts w:ascii="Arial" w:cs="Arial" w:eastAsia="Arial" w:hAnsi="Arial"/>
          <w:b/>
          <w:bCs/>
          <w:i w:val="false"/>
          <w:iCs w:val="false"/>
          <w:color w:val="000000"/>
          <w:sz w:val="21"/>
          <w:szCs w:val="21"/>
        </w:rPr>
        <w:t xml:space="preserve">Purpose.  </w:t>
      </w:r>
      <w:r>
        <w:rPr>
          <w:rFonts w:ascii="Arial" w:cs="Arial" w:eastAsia="Arial" w:hAnsi="Arial"/>
          <w:b w:val="false"/>
          <w:bCs w:val="false"/>
          <w:i w:val="false"/>
          <w:iCs w:val="false"/>
          <w:color w:val="000000"/>
          <w:sz w:val="21"/>
          <w:szCs w:val="21"/>
        </w:rPr>
        <w:t xml:space="preserve">The Operations Center must eventually live in tools the team can use under real field conditions. The correct platform is not the one with the longest feature list — it is the one that preserves your operating method and keeps the live day visible to office and field. Evaluate by capability, not by brand.</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REQUIRED CAPABILITIES — AND THE QUESTION EACH ANSWERS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5160"/>
      </w:tblGrid>
      <w:tr>
        <w:tc>
          <w:tcPr>
            <w:tcW w:type="dxa" w:w="4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PMS / reservation calendar sync</w:t>
            </w:r>
          </w:p>
        </w:tc>
        <w:tc>
          <w:tcPr>
            <w:tcW w:type="dxa" w:w="51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Do confirmed reservations, cancellations, and same-day bookings flow in automatically?</w:t>
            </w:r>
          </w:p>
        </w:tc>
      </w:tr>
      <w:tr>
        <w:tc>
          <w:tcPr>
            <w:tcW w:type="dxa" w:w="4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Rules-based job creation &amp; scheduling</w:t>
            </w:r>
          </w:p>
        </w:tc>
        <w:tc>
          <w:tcPr>
            <w:tcW w:type="dxa" w:w="51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Can it turn reservation events into the correct service, deadline, and assignment?</w:t>
            </w:r>
          </w:p>
        </w:tc>
      </w:tr>
      <w:tr>
        <w:tc>
          <w:tcPr>
            <w:tcW w:type="dxa" w:w="4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Field team application</w:t>
            </w:r>
          </w:p>
        </w:tc>
        <w:tc>
          <w:tcPr>
            <w:tcW w:type="dxa" w:w="51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Can cleaners and supervisors view assignments, access, and checklists in the field?</w:t>
            </w:r>
          </w:p>
        </w:tc>
      </w:tr>
      <w:tr>
        <w:tc>
          <w:tcPr>
            <w:tcW w:type="dxa" w:w="4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Checklist &amp; photo evidence</w:t>
            </w:r>
          </w:p>
        </w:tc>
        <w:tc>
          <w:tcPr>
            <w:tcW w:type="dxa" w:w="51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Are required tasks and images captured inside the job record?</w:t>
            </w:r>
          </w:p>
        </w:tc>
      </w:tr>
      <w:tr>
        <w:tc>
          <w:tcPr>
            <w:tcW w:type="dxa" w:w="4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Structured issue reporting</w:t>
            </w:r>
          </w:p>
        </w:tc>
        <w:tc>
          <w:tcPr>
            <w:tcW w:type="dxa" w:w="51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Can access failures, damage, shortages, and safety issues be reported in a structured way?</w:t>
            </w:r>
          </w:p>
        </w:tc>
      </w:tr>
      <w:tr>
        <w:tc>
          <w:tcPr>
            <w:tcW w:type="dxa" w:w="4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Live status visibility</w:t>
            </w:r>
          </w:p>
        </w:tc>
        <w:tc>
          <w:tcPr>
            <w:tcW w:type="dxa" w:w="51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Can operations see what is pending, active, delayed, or awaiting inspection?</w:t>
            </w:r>
          </w:p>
        </w:tc>
      </w:tr>
      <w:tr>
        <w:tc>
          <w:tcPr>
            <w:tcW w:type="dxa" w:w="4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Role &amp; permission control</w:t>
            </w:r>
          </w:p>
        </w:tc>
        <w:tc>
          <w:tcPr>
            <w:tcW w:type="dxa" w:w="51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Can you separate what owners, managers, crew, inspectors, and clients see and do?</w:t>
            </w:r>
          </w:p>
        </w:tc>
      </w:tr>
      <w:tr>
        <w:tc>
          <w:tcPr>
            <w:tcW w:type="dxa" w:w="4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Audit history &amp; reporting</w:t>
            </w:r>
          </w:p>
        </w:tc>
        <w:tc>
          <w:tcPr>
            <w:tcW w:type="dxa" w:w="51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Can leaders reconstruct what happened, when, and who acted?</w:t>
            </w:r>
          </w:p>
        </w:tc>
      </w:tr>
      <w:tr>
        <w:tc>
          <w:tcPr>
            <w:tcW w:type="dxa" w:w="4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Integration &amp; export</w:t>
            </w:r>
          </w:p>
        </w:tc>
        <w:tc>
          <w:tcPr>
            <w:tcW w:type="dxa" w:w="51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Can operational data move to payroll, accounting, inventory, or reporting?</w:t>
            </w:r>
          </w:p>
        </w:tc>
      </w:tr>
    </w:tbl>
    <w:p>
      <w:pPr>
        <w:spacing w:after="6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EAF1F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ONE SOURCE OF TRUTH ≠ ONE SCREEN</w:t>
            </w:r>
          </w:p>
          <w:p>
            <w:pPr>
              <w:spacing w:after="40" w:before="0" w:line="276"/>
              <w:jc w:val="left"/>
            </w:pPr>
            <w:r>
              <w:rPr>
                <w:rFonts w:ascii="Arial" w:cs="Arial" w:eastAsia="Arial" w:hAnsi="Arial"/>
                <w:b w:val="false"/>
                <w:bCs w:val="false"/>
                <w:i w:val="false"/>
                <w:iCs w:val="false"/>
                <w:color w:val="000000"/>
                <w:sz w:val="19"/>
                <w:szCs w:val="19"/>
              </w:rPr>
              <w:t xml:space="preserve">You may use several specialized systems. The requirement is that each operational fact has one authoritative home and the team knows where to look. The professional standard does not depend on any single technology platform.</w:t>
            </w:r>
          </w:p>
        </w:tc>
      </w:tr>
    </w:tbl>
    <w:p>
      <w:pPr>
        <w:spacing w:after="120" w:before="120" w:line="276"/>
        <w:jc w:val="left"/>
      </w:pPr>
      <w:r>
        <w:rPr>
          <w:rFonts w:ascii="Arial" w:cs="Arial" w:eastAsia="Arial" w:hAnsi="Arial"/>
          <w:b w:val="false"/>
          <w:bCs w:val="false"/>
          <w:i/>
          <w:iCs/>
          <w:color w:val="777777"/>
          <w:sz w:val="16"/>
          <w:szCs w:val="16"/>
        </w:rPr>
        <w:t xml:space="preserve">A planning instrument, not a guarantee of business success. Vendor-neutral — usable with any tools, team structure, or software.  ·  The STR Cleaning Blueprint™</w:t>
      </w:r>
    </w:p>
    <w:p>
      <w:pPr>
        <w:sectPr>
          <w:pgSz w:w="12240" w:h="15840" w:orient="portrait"/>
          <w:pgMar w:top="1080" w:right="1440" w:bottom="1080" w:left="1440" w:header="708" w:footer="708" w:gutter="0"/>
          <w:pgNumType/>
          <w:docGrid w:linePitch="360"/>
        </w:sectPr>
      </w:pPr>
    </w:p>
    <w:tbl>
      <w:tblPr>
        <w:tblW w:type="dxa" w:w="9360"/>
        <w:tblBorders>
          <w:top w:val="none"/>
          <w:left w:val="none"/>
          <w:bottom w:val="none"/>
          <w:right w:val="none"/>
          <w:insideH w:val="none"/>
          <w:insideV w:val="none"/>
        </w:tblBorders>
      </w:tblPr>
      <w:tblGrid>
        <w:gridCol w:w="9360"/>
      </w:tblGrid>
      <w:tr>
        <w:tc>
          <w:tcPr>
            <w:tcW w:type="dxa" w:w="9360"/>
            <w:shd w:fill="1F3B57" w:val="clear"/>
            <w:tcMar>
              <w:top w:type="dxa" w:w="120"/>
              <w:left w:type="dxa" w:w="180"/>
              <w:bottom w:type="dxa" w:w="120"/>
              <w:right w:type="dxa" w:w="180"/>
            </w:tcMar>
          </w:tcPr>
          <w:p>
            <w:pPr>
              <w:spacing w:after="0"/>
            </w:pPr>
            <w:r>
              <w:rPr>
                <w:rFonts w:ascii="Arial" w:cs="Arial" w:eastAsia="Arial" w:hAnsi="Arial"/>
                <w:b/>
                <w:bCs/>
                <w:i w:val="false"/>
                <w:iCs w:val="false"/>
                <w:color w:val="FFFFFF"/>
                <w:sz w:val="27"/>
                <w:szCs w:val="27"/>
              </w:rPr>
              <w:t xml:space="preserve">STR Operations Platform Evaluation Guide — Worked Example</w:t>
            </w:r>
          </w:p>
        </w:tc>
      </w:tr>
      <w:tr>
        <w:tc>
          <w:tcPr>
            <w:tcW w:type="dxa" w:w="9360"/>
            <w:shd w:fill="2E6E8E" w:val="clear"/>
            <w:tcMar>
              <w:top w:type="dxa" w:w="80"/>
              <w:left w:type="dxa" w:w="180"/>
              <w:bottom w:type="dxa" w:w="80"/>
              <w:right w:type="dxa" w:w="180"/>
            </w:tcMar>
          </w:tcPr>
          <w:p>
            <w:pPr>
              <w:spacing w:after="0"/>
            </w:pPr>
            <w:r>
              <w:rPr>
                <w:rFonts w:ascii="Arial" w:cs="Arial" w:eastAsia="Arial" w:hAnsi="Arial"/>
                <w:b w:val="false"/>
                <w:bCs w:val="false"/>
                <w:i w:val="false"/>
                <w:iCs w:val="false"/>
                <w:color w:val="FFFFFF"/>
                <w:sz w:val="18"/>
                <w:szCs w:val="18"/>
              </w:rPr>
              <w:t xml:space="preserve">The STR Cleaning Blueprint™  ·  Chapter 6  ·  Operations Vault   |   Summit Cleaning Solutions</w:t>
            </w:r>
          </w:p>
        </w:tc>
      </w:tr>
    </w:tbl>
    <w:p>
      <w:pPr>
        <w:spacing w:after="80"/>
      </w:pPr>
      <w:r>
        <w:rPr>
          <w:rFonts w:ascii="Arial" w:cs="Arial" w:eastAsia="Arial" w:hAnsi="Arial"/>
          <w:b w:val="false"/>
          <w:bCs w:val="false"/>
          <w:i w:val="false"/>
          <w:iCs w:val="false"/>
          <w:color w:val="000000"/>
          <w:sz w:val="21"/>
          <w:szCs w:val="21"/>
        </w:rPr>
        <w:t xml:space="preserve"/>
      </w:r>
    </w:p>
    <w:p>
      <w:pPr>
        <w:spacing w:after="120" w:before="0" w:line="276"/>
        <w:jc w:val="left"/>
      </w:pPr>
      <w:r>
        <w:rPr>
          <w:rFonts w:ascii="Arial" w:cs="Arial" w:eastAsia="Arial" w:hAnsi="Arial"/>
          <w:b w:val="false"/>
          <w:bCs w:val="false"/>
          <w:i/>
          <w:iCs/>
          <w:color w:val="777777"/>
          <w:sz w:val="21"/>
          <w:szCs w:val="21"/>
        </w:rPr>
        <w:t xml:space="preserve">How Emily evaluated an operations platform for Summit at the multi-crew stage — capability first.</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REQUIRED CAPABILITIES — AND THE QUESTION EACH ANSWERS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5160"/>
      </w:tblGrid>
      <w:tr>
        <w:tc>
          <w:tcPr>
            <w:tcW w:type="dxa" w:w="4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PMS / reservation calendar sync</w:t>
            </w:r>
          </w:p>
        </w:tc>
        <w:tc>
          <w:tcPr>
            <w:tcW w:type="dxa" w:w="51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Yes — confirmations, cancellations, date changes flow in</w:t>
            </w:r>
          </w:p>
        </w:tc>
      </w:tr>
      <w:tr>
        <w:tc>
          <w:tcPr>
            <w:tcW w:type="dxa" w:w="4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Rules-based job creation &amp; scheduling</w:t>
            </w:r>
          </w:p>
        </w:tc>
        <w:tc>
          <w:tcPr>
            <w:tcW w:type="dxa" w:w="51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Yes — reservation events become the right service &amp; deadline</w:t>
            </w:r>
          </w:p>
        </w:tc>
      </w:tr>
      <w:tr>
        <w:tc>
          <w:tcPr>
            <w:tcW w:type="dxa" w:w="4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Field team application</w:t>
            </w:r>
          </w:p>
        </w:tc>
        <w:tc>
          <w:tcPr>
            <w:tcW w:type="dxa" w:w="51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Yes — assignments, access, checklists on phones</w:t>
            </w:r>
          </w:p>
        </w:tc>
      </w:tr>
      <w:tr>
        <w:tc>
          <w:tcPr>
            <w:tcW w:type="dxa" w:w="4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Checklist &amp; photo evidence</w:t>
            </w:r>
          </w:p>
        </w:tc>
        <w:tc>
          <w:tcPr>
            <w:tcW w:type="dxa" w:w="51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Yes — captured in the job record</w:t>
            </w:r>
          </w:p>
        </w:tc>
      </w:tr>
      <w:tr>
        <w:tc>
          <w:tcPr>
            <w:tcW w:type="dxa" w:w="4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Structured issue reporting</w:t>
            </w:r>
          </w:p>
        </w:tc>
        <w:tc>
          <w:tcPr>
            <w:tcW w:type="dxa" w:w="51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Yes — access, damage, shortage, safety</w:t>
            </w:r>
          </w:p>
        </w:tc>
      </w:tr>
      <w:tr>
        <w:tc>
          <w:tcPr>
            <w:tcW w:type="dxa" w:w="4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Live status visibility</w:t>
            </w:r>
          </w:p>
        </w:tc>
        <w:tc>
          <w:tcPr>
            <w:tcW w:type="dxa" w:w="51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Yes — pending → active → awaiting inspection → ready</w:t>
            </w:r>
          </w:p>
        </w:tc>
      </w:tr>
      <w:tr>
        <w:tc>
          <w:tcPr>
            <w:tcW w:type="dxa" w:w="4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Role &amp; permission control</w:t>
            </w:r>
          </w:p>
        </w:tc>
        <w:tc>
          <w:tcPr>
            <w:tcW w:type="dxa" w:w="51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Yes — owner/manager/crew/inspector/client separated</w:t>
            </w:r>
          </w:p>
        </w:tc>
      </w:tr>
      <w:tr>
        <w:tc>
          <w:tcPr>
            <w:tcW w:type="dxa" w:w="4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Audit history &amp; reporting</w:t>
            </w:r>
          </w:p>
        </w:tc>
        <w:tc>
          <w:tcPr>
            <w:tcW w:type="dxa" w:w="51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Yes — who did what, when</w:t>
            </w:r>
          </w:p>
        </w:tc>
      </w:tr>
      <w:tr>
        <w:tc>
          <w:tcPr>
            <w:tcW w:type="dxa" w:w="4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Integration &amp; export</w:t>
            </w:r>
          </w:p>
        </w:tc>
        <w:tc>
          <w:tcPr>
            <w:tcW w:type="dxa" w:w="51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Yes — to payroll, accounting, reporting</w:t>
            </w:r>
          </w:p>
        </w:tc>
      </w:tr>
    </w:tbl>
    <w:p>
      <w:pPr>
        <w:spacing w:after="6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EAF1F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ONE SOURCE OF TRUTH ≠ ONE SCREEN</w:t>
            </w:r>
          </w:p>
          <w:p>
            <w:pPr>
              <w:spacing w:after="40" w:before="0" w:line="276"/>
              <w:jc w:val="left"/>
            </w:pPr>
            <w:r>
              <w:rPr>
                <w:rFonts w:ascii="Arial" w:cs="Arial" w:eastAsia="Arial" w:hAnsi="Arial"/>
                <w:b w:val="false"/>
                <w:bCs w:val="false"/>
                <w:i w:val="false"/>
                <w:iCs w:val="false"/>
                <w:color w:val="000000"/>
                <w:sz w:val="19"/>
                <w:szCs w:val="19"/>
              </w:rPr>
              <w:t xml:space="preserve">You may use several specialized systems. The requirement is that each operational fact has one authoritative home and the team knows where to look. The professional standard does not depend on any single technology platform.</w:t>
            </w:r>
          </w:p>
        </w:tc>
      </w:tr>
    </w:tbl>
    <w:p>
      <w:pPr>
        <w:spacing w:after="120" w:before="120" w:line="276"/>
        <w:jc w:val="left"/>
      </w:pPr>
      <w:r>
        <w:rPr>
          <w:rFonts w:ascii="Arial" w:cs="Arial" w:eastAsia="Arial" w:hAnsi="Arial"/>
          <w:b w:val="false"/>
          <w:bCs w:val="false"/>
          <w:i/>
          <w:iCs/>
          <w:color w:val="777777"/>
          <w:sz w:val="16"/>
          <w:szCs w:val="16"/>
        </w:rPr>
        <w:t xml:space="preserve">A planning instrument, not a guarantee of business success. Vendor-neutral — usable with any tools, team structure, or software.  ·  The STR Cleaning Blueprint™</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2026-07-31T14:14:09.226Z</dcterms:created>
  <dcterms:modified xsi:type="dcterms:W3CDTF">2026-07-31T14:14:09.226Z</dcterms:modified>
</cp:coreProperties>
</file>

<file path=docProps/custom.xml><?xml version="1.0" encoding="utf-8"?>
<Properties xmlns="http://schemas.openxmlformats.org/officeDocument/2006/custom-properties" xmlns:vt="http://schemas.openxmlformats.org/officeDocument/2006/docPropsVTypes"/>
</file>