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left w:val="none"/>
          <w:bottom w:val="none"/>
          <w:right w:val="none"/>
          <w:insideH w:val="none"/>
          <w:insideV w:val="none"/>
        </w:tblBorders>
      </w:tblPr>
      <w:tblGrid>
        <w:gridCol w:w="9360"/>
      </w:tblGrid>
      <w:tr>
        <w:tc>
          <w:tcPr>
            <w:tcW w:type="dxa" w:w="9360"/>
            <w:shd w:fill="1F3B57" w:val="clear"/>
            <w:tcMar>
              <w:top w:type="dxa" w:w="120"/>
              <w:left w:type="dxa" w:w="180"/>
              <w:bottom w:type="dxa" w:w="120"/>
              <w:right w:type="dxa" w:w="180"/>
            </w:tcMar>
          </w:tcPr>
          <w:p>
            <w:pPr>
              <w:spacing w:after="0"/>
            </w:pPr>
            <w:r>
              <w:rPr>
                <w:rFonts w:ascii="Arial" w:cs="Arial" w:eastAsia="Arial" w:hAnsi="Arial"/>
                <w:b/>
                <w:bCs/>
                <w:i w:val="false"/>
                <w:iCs w:val="false"/>
                <w:color w:val="FFFFFF"/>
                <w:sz w:val="27"/>
                <w:szCs w:val="27"/>
              </w:rPr>
              <w:t xml:space="preserve">Linen Release Standard &amp; Quarantine / Disposition Log</w:t>
            </w:r>
          </w:p>
        </w:tc>
      </w:tr>
      <w:tr>
        <w:tc>
          <w:tcPr>
            <w:tcW w:type="dxa" w:w="9360"/>
            <w:shd w:fill="2E6E8E" w:val="clear"/>
            <w:tcMar>
              <w:top w:type="dxa" w:w="80"/>
              <w:left w:type="dxa" w:w="180"/>
              <w:bottom w:type="dxa" w:w="80"/>
              <w:right w:type="dxa" w:w="180"/>
            </w:tcMar>
          </w:tcPr>
          <w:p>
            <w:pPr>
              <w:spacing w:after="0"/>
            </w:pPr>
            <w:r>
              <w:rPr>
                <w:rFonts w:ascii="Arial" w:cs="Arial" w:eastAsia="Arial" w:hAnsi="Arial"/>
                <w:b w:val="false"/>
                <w:bCs w:val="false"/>
                <w:i w:val="false"/>
                <w:iCs w:val="false"/>
                <w:color w:val="FFFFFF"/>
                <w:sz w:val="18"/>
                <w:szCs w:val="18"/>
              </w:rPr>
              <w:t xml:space="preserve">The STR Cleaning Blueprint™  ·  Chapter 8  ·  Operations Vault</w:t>
            </w:r>
          </w:p>
        </w:tc>
      </w:tr>
    </w:tbl>
    <w:p>
      <w:pPr>
        <w:spacing w:after="80"/>
      </w:pPr>
      <w:r>
        <w:rPr>
          <w:rFonts w:ascii="Arial" w:cs="Arial" w:eastAsia="Arial" w:hAnsi="Arial"/>
          <w:b w:val="false"/>
          <w:bCs w:val="false"/>
          <w:i w:val="false"/>
          <w:iCs w:val="false"/>
          <w:color w:val="000000"/>
          <w:sz w:val="21"/>
          <w:szCs w:val="21"/>
        </w:rPr>
        <w:t xml:space="preserve"/>
      </w:r>
    </w:p>
    <w:p>
      <w:pPr>
        <w:spacing w:after="120" w:before="0" w:line="276"/>
        <w:jc w:val="left"/>
      </w:pPr>
      <w:r>
        <w:rPr>
          <w:rFonts w:ascii="Arial" w:cs="Arial" w:eastAsia="Arial" w:hAnsi="Arial"/>
          <w:b/>
          <w:bCs/>
          <w:i w:val="false"/>
          <w:iCs w:val="false"/>
          <w:color w:val="000000"/>
          <w:sz w:val="21"/>
          <w:szCs w:val="21"/>
        </w:rPr>
        <w:t xml:space="preserve">Purpose.  </w:t>
      </w:r>
      <w:r>
        <w:rPr>
          <w:rFonts w:ascii="Arial" w:cs="Arial" w:eastAsia="Arial" w:hAnsi="Arial"/>
          <w:b w:val="false"/>
          <w:bCs w:val="false"/>
          <w:i w:val="false"/>
          <w:iCs w:val="false"/>
          <w:color w:val="000000"/>
          <w:sz w:val="21"/>
          <w:szCs w:val="21"/>
        </w:rPr>
        <w:t xml:space="preserve">Processing to "washed" is not the standard. Linen returned to service must be clean, dry, odor-free, correctly finished, undamaged, and correct for the approved presentation. This tool defines observable release criteria (the Chapter 7 method applied to linen) and controls what happens to anything that fails — so the stain station never becomes permanent inventory.</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1 — LINEN RELEASE STANDARD (INSPECT BEFORE RETURN TO SERVICE)</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4760"/>
        <w:gridCol w:w="2900"/>
      </w:tblGrid>
      <w:tr>
        <w:trPr>
          <w:tblHeader/>
        </w:trPr>
        <w:tc>
          <w:tcPr>
            <w:tcW w:type="dxa" w:w="17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Attribute</w:t>
            </w:r>
          </w:p>
        </w:tc>
        <w:tc>
          <w:tcPr>
            <w:tcW w:type="dxa" w:w="476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Acceptable condition</w:t>
            </w:r>
          </w:p>
        </w:tc>
        <w:tc>
          <w:tcPr>
            <w:tcW w:type="dxa" w:w="29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Failure response</w:t>
            </w:r>
          </w:p>
        </w:tc>
      </w:tr>
      <w:tr>
        <w:tc>
          <w:tcPr>
            <w:tcW w:type="dxa" w:w="17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Cleanliness</w:t>
            </w:r>
          </w:p>
        </w:tc>
        <w:tc>
          <w:tcPr>
            <w:tcW w:type="dxa" w:w="4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No visible soil, hair, residue, foreign material, or unexplained discoloration under normal inspection lighting.</w:t>
            </w:r>
          </w:p>
        </w:tc>
        <w:tc>
          <w:tcPr>
            <w:tcW w:type="dxa" w:w="29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Retreat, rewash, quarantine, or retire based on cause &amp; textile condition.</w:t>
            </w:r>
          </w:p>
        </w:tc>
      </w:tr>
      <w:tr>
        <w:tc>
          <w:tcPr>
            <w:tcW w:type="dxa" w:w="17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Odor</w:t>
            </w:r>
          </w:p>
        </w:tc>
        <w:tc>
          <w:tcPr>
            <w:tcW w:type="dxa" w:w="4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Neutral; free of mildew, smoke, chemical excess, body, or storage odor.</w:t>
            </w:r>
          </w:p>
        </w:tc>
        <w:tc>
          <w:tcPr>
            <w:tcW w:type="dxa" w:w="29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Reprocess; investigate load, drying, storage, or machine sanitation.</w:t>
            </w:r>
          </w:p>
        </w:tc>
      </w:tr>
      <w:tr>
        <w:tc>
          <w:tcPr>
            <w:tcW w:type="dxa" w:w="17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Dryness</w:t>
            </w:r>
          </w:p>
        </w:tc>
        <w:tc>
          <w:tcPr>
            <w:tcW w:type="dxa" w:w="4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Fully dry — folds, seams, elastic edges, dense towel centers.</w:t>
            </w:r>
          </w:p>
        </w:tc>
        <w:tc>
          <w:tcPr>
            <w:tcW w:type="dxa" w:w="29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Return to drying. Do not pack damp linen.</w:t>
            </w:r>
          </w:p>
        </w:tc>
      </w:tr>
      <w:tr>
        <w:tc>
          <w:tcPr>
            <w:tcW w:type="dxa" w:w="17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Condition</w:t>
            </w:r>
          </w:p>
        </w:tc>
        <w:tc>
          <w:tcPr>
            <w:tcW w:type="dxa" w:w="4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No tears, severe pilling, failed elastic, frayed edges, open seams, or presentation-damaging wear.</w:t>
            </w:r>
          </w:p>
        </w:tc>
        <w:tc>
          <w:tcPr>
            <w:tcW w:type="dxa" w:w="29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Repair if approved, downgrade for controlled use, or retire.</w:t>
            </w:r>
          </w:p>
        </w:tc>
      </w:tr>
      <w:tr>
        <w:tc>
          <w:tcPr>
            <w:tcW w:type="dxa" w:w="17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Finish</w:t>
            </w:r>
          </w:p>
        </w:tc>
        <w:tc>
          <w:tcPr>
            <w:tcW w:type="dxa" w:w="4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Folded/finished to the approved pack &amp; presentation method.</w:t>
            </w:r>
          </w:p>
        </w:tc>
        <w:tc>
          <w:tcPr>
            <w:tcW w:type="dxa" w:w="29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Refinish before pack release.</w:t>
            </w:r>
          </w:p>
        </w:tc>
      </w:tr>
      <w:tr>
        <w:tc>
          <w:tcPr>
            <w:tcW w:type="dxa" w:w="17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Identity</w:t>
            </w:r>
          </w:p>
        </w:tc>
        <w:tc>
          <w:tcPr>
            <w:tcW w:type="dxa" w:w="4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Correct size, grade, property class, and ownership group.</w:t>
            </w:r>
          </w:p>
        </w:tc>
        <w:tc>
          <w:tcPr>
            <w:tcW w:type="dxa" w:w="29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Resort and correct the record before deployment.</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FFF6D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FIELD RULE</w:t>
            </w:r>
          </w:p>
          <w:p>
            <w:pPr>
              <w:spacing w:after="40" w:before="0" w:line="276"/>
              <w:jc w:val="left"/>
            </w:pPr>
            <w:r>
              <w:rPr>
                <w:rFonts w:ascii="Arial" w:cs="Arial" w:eastAsia="Arial" w:hAnsi="Arial"/>
                <w:b w:val="false"/>
                <w:bCs w:val="false"/>
                <w:i w:val="false"/>
                <w:iCs w:val="false"/>
                <w:color w:val="000000"/>
                <w:sz w:val="19"/>
                <w:szCs w:val="19"/>
              </w:rPr>
              <w:t xml:space="preserve">Do not let the stain station become permanent inventory. Every quarantined item needs a date, status, owner, and next decision.</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2 — STAIN &amp; DAMAGE ECONOMIC RULE</w:t>
            </w:r>
          </w:p>
        </w:tc>
      </w:tr>
    </w:tbl>
    <w:p>
      <w:pPr>
        <w:spacing w:after="100" w:before="0" w:line="276"/>
        <w:jc w:val="left"/>
      </w:pPr>
      <w:r>
        <w:rPr>
          <w:rFonts w:ascii="Arial" w:cs="Arial" w:eastAsia="Arial" w:hAnsi="Arial"/>
          <w:b w:val="false"/>
          <w:bCs w:val="false"/>
          <w:i/>
          <w:iCs/>
          <w:color w:val="777777"/>
          <w:sz w:val="18"/>
          <w:szCs w:val="18"/>
        </w:rPr>
        <w:t xml:space="preserve">Repeatedly processing a low-value item can cost more in labor, chemical, water, energy, and machine capacity than replacement. Set treatment limits by item value, stain type, quality standard, and labor cost. Every treatment attempt ends in a documented disposition.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00"/>
        <w:gridCol w:w="4760"/>
      </w:tblGrid>
      <w:tr>
        <w:tc>
          <w:tcPr>
            <w:tcW w:type="dxa" w:w="4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Standard treatment attempts before retire</w:t>
            </w:r>
          </w:p>
        </w:tc>
        <w:tc>
          <w:tcPr>
            <w:tcW w:type="dxa" w:w="47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4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Disposition options</w:t>
            </w:r>
          </w:p>
        </w:tc>
        <w:tc>
          <w:tcPr>
            <w:tcW w:type="dxa" w:w="47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3 — QUARANTINE &amp; DISPOSITION LOG</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600"/>
        <w:gridCol w:w="2400"/>
        <w:gridCol w:w="2160"/>
      </w:tblGrid>
      <w:tr>
        <w:trPr>
          <w:tblHeader/>
        </w:trPr>
        <w:tc>
          <w:tcPr>
            <w:tcW w:type="dxa" w:w="2200"/>
            <w:tcBorders>
              <w:top w:val="single" w:color="BBBBBB" w:sz="4"/>
              <w:left w:val="single" w:color="BBBBBB" w:sz="4"/>
              <w:bottom w:val="single" w:color="BBBBBB" w:sz="4"/>
              <w:right w:val="single" w:color="BBBBBB" w:sz="4"/>
            </w:tcBorders>
            <w:shd w:fill="1F3B57" w:val="clear"/>
            <w:tcMar>
              <w:top w:type="dxa" w:w="50"/>
              <w:left w:type="dxa" w:w="100"/>
              <w:bottom w:type="dxa" w:w="50"/>
              <w:right w:type="dxa" w:w="100"/>
            </w:tcMar>
          </w:tcPr>
          <w:p>
            <w:pPr>
              <w:spacing w:after="0" w:before="0" w:line="276"/>
              <w:jc w:val="left"/>
            </w:pPr>
            <w:r>
              <w:rPr>
                <w:rFonts w:ascii="Arial" w:cs="Arial" w:eastAsia="Arial" w:hAnsi="Arial"/>
                <w:b/>
                <w:bCs/>
                <w:i w:val="false"/>
                <w:iCs w:val="false"/>
                <w:color w:val="FFFFFF"/>
                <w:sz w:val="15"/>
                <w:szCs w:val="15"/>
              </w:rPr>
              <w:t xml:space="preserve">Item &amp; qty</w:t>
            </w:r>
          </w:p>
        </w:tc>
        <w:tc>
          <w:tcPr>
            <w:tcW w:type="dxa" w:w="2600"/>
            <w:tcBorders>
              <w:top w:val="single" w:color="BBBBBB" w:sz="4"/>
              <w:left w:val="single" w:color="BBBBBB" w:sz="4"/>
              <w:bottom w:val="single" w:color="BBBBBB" w:sz="4"/>
              <w:right w:val="single" w:color="BBBBBB" w:sz="4"/>
            </w:tcBorders>
            <w:shd w:fill="1F3B57" w:val="clear"/>
            <w:tcMar>
              <w:top w:type="dxa" w:w="50"/>
              <w:left w:type="dxa" w:w="100"/>
              <w:bottom w:type="dxa" w:w="50"/>
              <w:right w:type="dxa" w:w="100"/>
            </w:tcMar>
          </w:tcPr>
          <w:p>
            <w:pPr>
              <w:spacing w:after="0" w:before="0" w:line="276"/>
              <w:jc w:val="left"/>
            </w:pPr>
            <w:r>
              <w:rPr>
                <w:rFonts w:ascii="Arial" w:cs="Arial" w:eastAsia="Arial" w:hAnsi="Arial"/>
                <w:b/>
                <w:bCs/>
                <w:i w:val="false"/>
                <w:iCs w:val="false"/>
                <w:color w:val="FFFFFF"/>
                <w:sz w:val="15"/>
                <w:szCs w:val="15"/>
              </w:rPr>
              <w:t xml:space="preserve">Cause / stain type</w:t>
            </w:r>
          </w:p>
        </w:tc>
        <w:tc>
          <w:tcPr>
            <w:tcW w:type="dxa" w:w="2400"/>
            <w:tcBorders>
              <w:top w:val="single" w:color="BBBBBB" w:sz="4"/>
              <w:left w:val="single" w:color="BBBBBB" w:sz="4"/>
              <w:bottom w:val="single" w:color="BBBBBB" w:sz="4"/>
              <w:right w:val="single" w:color="BBBBBB" w:sz="4"/>
            </w:tcBorders>
            <w:shd w:fill="1F3B57" w:val="clear"/>
            <w:tcMar>
              <w:top w:type="dxa" w:w="50"/>
              <w:left w:type="dxa" w:w="100"/>
              <w:bottom w:type="dxa" w:w="50"/>
              <w:right w:type="dxa" w:w="100"/>
            </w:tcMar>
          </w:tcPr>
          <w:p>
            <w:pPr>
              <w:spacing w:after="0" w:before="0" w:line="276"/>
              <w:jc w:val="left"/>
            </w:pPr>
            <w:r>
              <w:rPr>
                <w:rFonts w:ascii="Arial" w:cs="Arial" w:eastAsia="Arial" w:hAnsi="Arial"/>
                <w:b/>
                <w:bCs/>
                <w:i w:val="false"/>
                <w:iCs w:val="false"/>
                <w:color w:val="FFFFFF"/>
                <w:sz w:val="15"/>
                <w:szCs w:val="15"/>
              </w:rPr>
              <w:t xml:space="preserve">Attempts &amp; date</w:t>
            </w:r>
          </w:p>
        </w:tc>
        <w:tc>
          <w:tcPr>
            <w:tcW w:type="dxa" w:w="2160"/>
            <w:tcBorders>
              <w:top w:val="single" w:color="BBBBBB" w:sz="4"/>
              <w:left w:val="single" w:color="BBBBBB" w:sz="4"/>
              <w:bottom w:val="single" w:color="BBBBBB" w:sz="4"/>
              <w:right w:val="single" w:color="BBBBBB" w:sz="4"/>
            </w:tcBorders>
            <w:shd w:fill="1F3B57" w:val="clear"/>
            <w:tcMar>
              <w:top w:type="dxa" w:w="50"/>
              <w:left w:type="dxa" w:w="100"/>
              <w:bottom w:type="dxa" w:w="50"/>
              <w:right w:type="dxa" w:w="100"/>
            </w:tcMar>
          </w:tcPr>
          <w:p>
            <w:pPr>
              <w:spacing w:after="0" w:before="0" w:line="276"/>
              <w:jc w:val="left"/>
            </w:pPr>
            <w:r>
              <w:rPr>
                <w:rFonts w:ascii="Arial" w:cs="Arial" w:eastAsia="Arial" w:hAnsi="Arial"/>
                <w:b/>
                <w:bCs/>
                <w:i w:val="false"/>
                <w:iCs w:val="false"/>
                <w:color w:val="FFFFFF"/>
                <w:sz w:val="15"/>
                <w:szCs w:val="15"/>
              </w:rPr>
              <w:t xml:space="preserve">Disposition &amp; owner</w:t>
            </w:r>
          </w:p>
        </w:tc>
      </w:tr>
      <w:tr>
        <w:tc>
          <w:tcPr>
            <w:tcW w:type="dxa" w:w="2200"/>
            <w:tcBorders>
              <w:top w:val="single" w:color="BBBBBB" w:sz="4"/>
              <w:left w:val="single" w:color="BBBBBB" w:sz="4"/>
              <w:bottom w:val="single" w:color="BBBBBB" w:sz="4"/>
              <w:right w:val="single" w:color="BBBBBB" w:sz="4"/>
            </w:tcBorders>
            <w:shd w:fill="EAF1F5" w:val="clear"/>
            <w:tcMar>
              <w:top w:type="dxa" w:w="55"/>
              <w:left w:type="dxa" w:w="100"/>
              <w:bottom w:type="dxa" w:w="55"/>
              <w:right w:type="dxa" w:w="100"/>
            </w:tcMar>
            <w:vAlign w:val="top"/>
          </w:tcPr>
          <w:p>
            <w:pPr>
              <w:spacing w:after="0" w:before="0" w:line="276"/>
              <w:jc w:val="left"/>
            </w:pPr>
            <w:r>
              <w:rPr>
                <w:rFonts w:ascii="Arial" w:cs="Arial" w:eastAsia="Arial" w:hAnsi="Arial"/>
                <w:b/>
                <w:bCs/>
                <w:i w:val="false"/>
                <w:iCs w:val="false"/>
                <w:color w:val="000000"/>
                <w:sz w:val="15"/>
                <w:szCs w:val="15"/>
              </w:rPr>
              <w:t xml:space="preserve"/>
            </w:r>
          </w:p>
        </w:tc>
        <w:tc>
          <w:tcPr>
            <w:tcW w:type="dxa" w:w="26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Body-oil discoloration</w:t>
            </w:r>
          </w:p>
        </w:tc>
        <w:tc>
          <w:tcPr>
            <w:tcW w:type="dxa" w:w="24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1 treatment · 07/22</w:t>
            </w:r>
          </w:p>
        </w:tc>
        <w:tc>
          <w:tcPr>
            <w:tcW w:type="dxa" w:w="216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
            </w:r>
          </w:p>
        </w:tc>
      </w:tr>
      <w:tr>
        <w:tc>
          <w:tcPr>
            <w:tcW w:type="dxa" w:w="2200"/>
            <w:tcBorders>
              <w:top w:val="single" w:color="BBBBBB" w:sz="4"/>
              <w:left w:val="single" w:color="BBBBBB" w:sz="4"/>
              <w:bottom w:val="single" w:color="BBBBBB" w:sz="4"/>
              <w:right w:val="single" w:color="BBBBBB" w:sz="4"/>
            </w:tcBorders>
            <w:shd w:fill="EAF1F5" w:val="clear"/>
            <w:tcMar>
              <w:top w:type="dxa" w:w="55"/>
              <w:left w:type="dxa" w:w="100"/>
              <w:bottom w:type="dxa" w:w="55"/>
              <w:right w:type="dxa" w:w="100"/>
            </w:tcMar>
            <w:vAlign w:val="top"/>
          </w:tcPr>
          <w:p>
            <w:pPr>
              <w:spacing w:after="0" w:before="0" w:line="276"/>
              <w:jc w:val="left"/>
            </w:pPr>
            <w:r>
              <w:rPr>
                <w:rFonts w:ascii="Arial" w:cs="Arial" w:eastAsia="Arial" w:hAnsi="Arial"/>
                <w:b/>
                <w:bCs/>
                <w:i w:val="false"/>
                <w:iCs w:val="false"/>
                <w:color w:val="000000"/>
                <w:sz w:val="15"/>
                <w:szCs w:val="15"/>
              </w:rPr>
              <w:t xml:space="preserve"/>
            </w:r>
          </w:p>
        </w:tc>
        <w:tc>
          <w:tcPr>
            <w:tcW w:type="dxa" w:w="26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Bleach spot</w:t>
            </w:r>
          </w:p>
        </w:tc>
        <w:tc>
          <w:tcPr>
            <w:tcW w:type="dxa" w:w="24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0 · 07/25</w:t>
            </w:r>
          </w:p>
        </w:tc>
        <w:tc>
          <w:tcPr>
            <w:tcW w:type="dxa" w:w="216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
            </w:r>
          </w:p>
        </w:tc>
      </w:tr>
      <w:tr>
        <w:tc>
          <w:tcPr>
            <w:tcW w:type="dxa" w:w="2200"/>
            <w:tcBorders>
              <w:top w:val="single" w:color="BBBBBB" w:sz="4"/>
              <w:left w:val="single" w:color="BBBBBB" w:sz="4"/>
              <w:bottom w:val="single" w:color="BBBBBB" w:sz="4"/>
              <w:right w:val="single" w:color="BBBBBB" w:sz="4"/>
            </w:tcBorders>
            <w:shd w:fill="EAF1F5" w:val="clear"/>
            <w:tcMar>
              <w:top w:type="dxa" w:w="55"/>
              <w:left w:type="dxa" w:w="100"/>
              <w:bottom w:type="dxa" w:w="55"/>
              <w:right w:type="dxa" w:w="100"/>
            </w:tcMar>
            <w:vAlign w:val="top"/>
          </w:tcPr>
          <w:p>
            <w:pPr>
              <w:spacing w:after="0" w:before="0" w:line="276"/>
              <w:jc w:val="left"/>
            </w:pPr>
            <w:r>
              <w:rPr>
                <w:rFonts w:ascii="Arial" w:cs="Arial" w:eastAsia="Arial" w:hAnsi="Arial"/>
                <w:b/>
                <w:bCs/>
                <w:i w:val="false"/>
                <w:iCs w:val="false"/>
                <w:color w:val="000000"/>
                <w:sz w:val="15"/>
                <w:szCs w:val="15"/>
              </w:rPr>
              <w:t xml:space="preserve"/>
            </w:r>
          </w:p>
        </w:tc>
        <w:tc>
          <w:tcPr>
            <w:tcW w:type="dxa" w:w="26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Ink — treatable</w:t>
            </w:r>
          </w:p>
        </w:tc>
        <w:tc>
          <w:tcPr>
            <w:tcW w:type="dxa" w:w="24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1 treatment · 07/26</w:t>
            </w:r>
          </w:p>
        </w:tc>
        <w:tc>
          <w:tcPr>
            <w:tcW w:type="dxa" w:w="216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
            </w:r>
          </w:p>
        </w:tc>
      </w:tr>
      <w:tr>
        <w:tc>
          <w:tcPr>
            <w:tcW w:type="dxa" w:w="2200"/>
            <w:tcBorders>
              <w:top w:val="single" w:color="BBBBBB" w:sz="4"/>
              <w:left w:val="single" w:color="BBBBBB" w:sz="4"/>
              <w:bottom w:val="single" w:color="BBBBBB" w:sz="4"/>
              <w:right w:val="single" w:color="BBBBBB" w:sz="4"/>
            </w:tcBorders>
            <w:shd w:fill="EAF1F5" w:val="clear"/>
            <w:tcMar>
              <w:top w:type="dxa" w:w="55"/>
              <w:left w:type="dxa" w:w="100"/>
              <w:bottom w:type="dxa" w:w="55"/>
              <w:right w:type="dxa" w:w="100"/>
            </w:tcMar>
            <w:vAlign w:val="top"/>
          </w:tcPr>
          <w:p>
            <w:pPr>
              <w:spacing w:after="0" w:before="0" w:line="276"/>
              <w:jc w:val="left"/>
            </w:pPr>
            <w:r>
              <w:rPr>
                <w:rFonts w:ascii="Arial" w:cs="Arial" w:eastAsia="Arial" w:hAnsi="Arial"/>
                <w:b/>
                <w:bCs/>
                <w:i w:val="false"/>
                <w:iCs w:val="false"/>
                <w:color w:val="000000"/>
                <w:sz w:val="15"/>
                <w:szCs w:val="15"/>
              </w:rPr>
              <w:t xml:space="preserve"/>
            </w:r>
          </w:p>
        </w:tc>
        <w:tc>
          <w:tcPr>
            <w:tcW w:type="dxa" w:w="26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
            </w:r>
          </w:p>
        </w:tc>
        <w:tc>
          <w:tcPr>
            <w:tcW w:type="dxa" w:w="24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
            </w:r>
          </w:p>
        </w:tc>
        <w:tc>
          <w:tcPr>
            <w:tcW w:type="dxa" w:w="216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
            </w:r>
          </w:p>
        </w:tc>
      </w:tr>
    </w:tbl>
    <w:p>
      <w:pPr>
        <w:spacing w:after="120" w:before="120" w:line="276"/>
        <w:jc w:val="left"/>
      </w:pPr>
      <w:r>
        <w:rPr>
          <w:rFonts w:ascii="Arial" w:cs="Arial" w:eastAsia="Arial" w:hAnsi="Arial"/>
          <w:b w:val="false"/>
          <w:bCs w:val="false"/>
          <w:i/>
          <w:iCs/>
          <w:color w:val="777777"/>
          <w:sz w:val="16"/>
          <w:szCs w:val="16"/>
        </w:rPr>
        <w:t xml:space="preserve">A planning instrument, not a guarantee of business success. Vendor-neutral — usable with any tools, team structure, or software.  ·  The STR Cleaning Blueprint™</w:t>
      </w:r>
    </w:p>
    <w:p>
      <w:pPr>
        <w:sectPr>
          <w:pgSz w:w="12240" w:h="15840" w:orient="portrait"/>
          <w:pgMar w:top="1080" w:right="1440" w:bottom="1080" w:left="1440" w:header="708" w:footer="708" w:gutter="0"/>
          <w:pgNumType/>
          <w:docGrid w:linePitch="360"/>
        </w:sectPr>
      </w:pPr>
    </w:p>
    <w:tbl>
      <w:tblPr>
        <w:tblW w:type="dxa" w:w="9360"/>
        <w:tblBorders>
          <w:top w:val="none"/>
          <w:left w:val="none"/>
          <w:bottom w:val="none"/>
          <w:right w:val="none"/>
          <w:insideH w:val="none"/>
          <w:insideV w:val="none"/>
        </w:tblBorders>
      </w:tblPr>
      <w:tblGrid>
        <w:gridCol w:w="9360"/>
      </w:tblGrid>
      <w:tr>
        <w:tc>
          <w:tcPr>
            <w:tcW w:type="dxa" w:w="9360"/>
            <w:shd w:fill="1F3B57" w:val="clear"/>
            <w:tcMar>
              <w:top w:type="dxa" w:w="120"/>
              <w:left w:type="dxa" w:w="180"/>
              <w:bottom w:type="dxa" w:w="120"/>
              <w:right w:type="dxa" w:w="180"/>
            </w:tcMar>
          </w:tcPr>
          <w:p>
            <w:pPr>
              <w:spacing w:after="0"/>
            </w:pPr>
            <w:r>
              <w:rPr>
                <w:rFonts w:ascii="Arial" w:cs="Arial" w:eastAsia="Arial" w:hAnsi="Arial"/>
                <w:b/>
                <w:bCs/>
                <w:i w:val="false"/>
                <w:iCs w:val="false"/>
                <w:color w:val="FFFFFF"/>
                <w:sz w:val="27"/>
                <w:szCs w:val="27"/>
              </w:rPr>
              <w:t xml:space="preserve">Linen Release Standard &amp; Quarantine / Disposition Log — Worked Example</w:t>
            </w:r>
          </w:p>
        </w:tc>
      </w:tr>
      <w:tr>
        <w:tc>
          <w:tcPr>
            <w:tcW w:type="dxa" w:w="9360"/>
            <w:shd w:fill="2E6E8E" w:val="clear"/>
            <w:tcMar>
              <w:top w:type="dxa" w:w="80"/>
              <w:left w:type="dxa" w:w="180"/>
              <w:bottom w:type="dxa" w:w="80"/>
              <w:right w:type="dxa" w:w="180"/>
            </w:tcMar>
          </w:tcPr>
          <w:p>
            <w:pPr>
              <w:spacing w:after="0"/>
            </w:pPr>
            <w:r>
              <w:rPr>
                <w:rFonts w:ascii="Arial" w:cs="Arial" w:eastAsia="Arial" w:hAnsi="Arial"/>
                <w:b w:val="false"/>
                <w:bCs w:val="false"/>
                <w:i w:val="false"/>
                <w:iCs w:val="false"/>
                <w:color w:val="FFFFFF"/>
                <w:sz w:val="18"/>
                <w:szCs w:val="18"/>
              </w:rPr>
              <w:t xml:space="preserve">The STR Cleaning Blueprint™  ·  Chapter 8  ·  Operations Vault   |   Summit Cleaning Solutions</w:t>
            </w:r>
          </w:p>
        </w:tc>
      </w:tr>
    </w:tbl>
    <w:p>
      <w:pPr>
        <w:spacing w:after="80"/>
      </w:pPr>
      <w:r>
        <w:rPr>
          <w:rFonts w:ascii="Arial" w:cs="Arial" w:eastAsia="Arial" w:hAnsi="Arial"/>
          <w:b w:val="false"/>
          <w:bCs w:val="false"/>
          <w:i w:val="false"/>
          <w:iCs w:val="false"/>
          <w:color w:val="000000"/>
          <w:sz w:val="21"/>
          <w:szCs w:val="21"/>
        </w:rPr>
        <w:t xml:space="preserve"/>
      </w:r>
    </w:p>
    <w:p>
      <w:pPr>
        <w:spacing w:after="120" w:before="0" w:line="276"/>
        <w:jc w:val="left"/>
      </w:pPr>
      <w:r>
        <w:rPr>
          <w:rFonts w:ascii="Arial" w:cs="Arial" w:eastAsia="Arial" w:hAnsi="Arial"/>
          <w:b w:val="false"/>
          <w:bCs w:val="false"/>
          <w:i/>
          <w:iCs/>
          <w:color w:val="777777"/>
          <w:sz w:val="21"/>
          <w:szCs w:val="21"/>
        </w:rPr>
        <w:t xml:space="preserve">Worked for Summit Cleaning Solutions — RidgeLine Laundry release inspection and quarantine dispositions for the Lakeview Retreat property packs.</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1 — LINEN RELEASE STANDARD (INSPECT BEFORE RETURN TO SERVICE)</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4760"/>
        <w:gridCol w:w="2900"/>
      </w:tblGrid>
      <w:tr>
        <w:trPr>
          <w:tblHeader/>
        </w:trPr>
        <w:tc>
          <w:tcPr>
            <w:tcW w:type="dxa" w:w="17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Attribute</w:t>
            </w:r>
          </w:p>
        </w:tc>
        <w:tc>
          <w:tcPr>
            <w:tcW w:type="dxa" w:w="476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Acceptable condition</w:t>
            </w:r>
          </w:p>
        </w:tc>
        <w:tc>
          <w:tcPr>
            <w:tcW w:type="dxa" w:w="29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Failure response</w:t>
            </w:r>
          </w:p>
        </w:tc>
      </w:tr>
      <w:tr>
        <w:tc>
          <w:tcPr>
            <w:tcW w:type="dxa" w:w="17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Cleanliness</w:t>
            </w:r>
          </w:p>
        </w:tc>
        <w:tc>
          <w:tcPr>
            <w:tcW w:type="dxa" w:w="4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No visible soil, hair, residue, foreign material, or unexplained discoloration under normal inspection lighting.</w:t>
            </w:r>
          </w:p>
        </w:tc>
        <w:tc>
          <w:tcPr>
            <w:tcW w:type="dxa" w:w="29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Retreat, rewash, quarantine, or retire based on cause &amp; textile condition.</w:t>
            </w:r>
          </w:p>
        </w:tc>
      </w:tr>
      <w:tr>
        <w:tc>
          <w:tcPr>
            <w:tcW w:type="dxa" w:w="17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Odor</w:t>
            </w:r>
          </w:p>
        </w:tc>
        <w:tc>
          <w:tcPr>
            <w:tcW w:type="dxa" w:w="4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Neutral; free of mildew, smoke, chemical excess, body, or storage odor.</w:t>
            </w:r>
          </w:p>
        </w:tc>
        <w:tc>
          <w:tcPr>
            <w:tcW w:type="dxa" w:w="29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Reprocess; investigate load, drying, storage, or machine sanitation.</w:t>
            </w:r>
          </w:p>
        </w:tc>
      </w:tr>
      <w:tr>
        <w:tc>
          <w:tcPr>
            <w:tcW w:type="dxa" w:w="17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Dryness</w:t>
            </w:r>
          </w:p>
        </w:tc>
        <w:tc>
          <w:tcPr>
            <w:tcW w:type="dxa" w:w="4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Fully dry — folds, seams, elastic edges, dense towel centers.</w:t>
            </w:r>
          </w:p>
        </w:tc>
        <w:tc>
          <w:tcPr>
            <w:tcW w:type="dxa" w:w="29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Return to drying. Do not pack damp linen.</w:t>
            </w:r>
          </w:p>
        </w:tc>
      </w:tr>
      <w:tr>
        <w:tc>
          <w:tcPr>
            <w:tcW w:type="dxa" w:w="17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Condition</w:t>
            </w:r>
          </w:p>
        </w:tc>
        <w:tc>
          <w:tcPr>
            <w:tcW w:type="dxa" w:w="4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No tears, severe pilling, failed elastic, frayed edges, open seams, or presentation-damaging wear.</w:t>
            </w:r>
          </w:p>
        </w:tc>
        <w:tc>
          <w:tcPr>
            <w:tcW w:type="dxa" w:w="29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Repair if approved, downgrade for controlled use, or retire.</w:t>
            </w:r>
          </w:p>
        </w:tc>
      </w:tr>
      <w:tr>
        <w:tc>
          <w:tcPr>
            <w:tcW w:type="dxa" w:w="17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Finish</w:t>
            </w:r>
          </w:p>
        </w:tc>
        <w:tc>
          <w:tcPr>
            <w:tcW w:type="dxa" w:w="4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Folded/finished to the approved pack &amp; presentation method.</w:t>
            </w:r>
          </w:p>
        </w:tc>
        <w:tc>
          <w:tcPr>
            <w:tcW w:type="dxa" w:w="29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Refinish before pack release.</w:t>
            </w:r>
          </w:p>
        </w:tc>
      </w:tr>
      <w:tr>
        <w:tc>
          <w:tcPr>
            <w:tcW w:type="dxa" w:w="17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Identity</w:t>
            </w:r>
          </w:p>
        </w:tc>
        <w:tc>
          <w:tcPr>
            <w:tcW w:type="dxa" w:w="4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Correct size, grade, property class, and ownership group.</w:t>
            </w:r>
          </w:p>
        </w:tc>
        <w:tc>
          <w:tcPr>
            <w:tcW w:type="dxa" w:w="29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Resort and correct the record before deployment.</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FFF6D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FIELD RULE</w:t>
            </w:r>
          </w:p>
          <w:p>
            <w:pPr>
              <w:spacing w:after="40" w:before="0" w:line="276"/>
              <w:jc w:val="left"/>
            </w:pPr>
            <w:r>
              <w:rPr>
                <w:rFonts w:ascii="Arial" w:cs="Arial" w:eastAsia="Arial" w:hAnsi="Arial"/>
                <w:b w:val="false"/>
                <w:bCs w:val="false"/>
                <w:i w:val="false"/>
                <w:iCs w:val="false"/>
                <w:color w:val="000000"/>
                <w:sz w:val="19"/>
                <w:szCs w:val="19"/>
              </w:rPr>
              <w:t xml:space="preserve">Do not let the stain station become permanent inventory. Every quarantined item needs a date, status, owner, and next decision.</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2 — STAIN &amp; DAMAGE ECONOMIC RULE</w:t>
            </w:r>
          </w:p>
        </w:tc>
      </w:tr>
    </w:tbl>
    <w:p>
      <w:pPr>
        <w:spacing w:after="100" w:before="0" w:line="276"/>
        <w:jc w:val="left"/>
      </w:pPr>
      <w:r>
        <w:rPr>
          <w:rFonts w:ascii="Arial" w:cs="Arial" w:eastAsia="Arial" w:hAnsi="Arial"/>
          <w:b w:val="false"/>
          <w:bCs w:val="false"/>
          <w:i/>
          <w:iCs/>
          <w:color w:val="777777"/>
          <w:sz w:val="18"/>
          <w:szCs w:val="18"/>
        </w:rPr>
        <w:t xml:space="preserve">Repeatedly processing a low-value item can cost more in labor, chemical, water, energy, and machine capacity than replacement. Set treatment limits by item value, stain type, quality standard, and labor cost. Every treatment attempt ends in a documented disposition.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00"/>
        <w:gridCol w:w="4760"/>
      </w:tblGrid>
      <w:tr>
        <w:tc>
          <w:tcPr>
            <w:tcW w:type="dxa" w:w="4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Standard treatment attempts before retire</w:t>
            </w:r>
          </w:p>
        </w:tc>
        <w:tc>
          <w:tcPr>
            <w:tcW w:type="dxa" w:w="47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1 cycle; 2nd only if item value + capacity justify</w:t>
            </w:r>
          </w:p>
        </w:tc>
      </w:tr>
      <w:tr>
        <w:tc>
          <w:tcPr>
            <w:tcW w:type="dxa" w:w="4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Disposition options</w:t>
            </w:r>
          </w:p>
        </w:tc>
        <w:tc>
          <w:tcPr>
            <w:tcW w:type="dxa" w:w="47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Return · downgrade (internal) · donate · recycle · discard</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3 — QUARANTINE &amp; DISPOSITION LOG</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600"/>
        <w:gridCol w:w="2400"/>
        <w:gridCol w:w="2160"/>
      </w:tblGrid>
      <w:tr>
        <w:trPr>
          <w:tblHeader/>
        </w:trPr>
        <w:tc>
          <w:tcPr>
            <w:tcW w:type="dxa" w:w="2200"/>
            <w:tcBorders>
              <w:top w:val="single" w:color="BBBBBB" w:sz="4"/>
              <w:left w:val="single" w:color="BBBBBB" w:sz="4"/>
              <w:bottom w:val="single" w:color="BBBBBB" w:sz="4"/>
              <w:right w:val="single" w:color="BBBBBB" w:sz="4"/>
            </w:tcBorders>
            <w:shd w:fill="1F3B57" w:val="clear"/>
            <w:tcMar>
              <w:top w:type="dxa" w:w="50"/>
              <w:left w:type="dxa" w:w="100"/>
              <w:bottom w:type="dxa" w:w="50"/>
              <w:right w:type="dxa" w:w="100"/>
            </w:tcMar>
          </w:tcPr>
          <w:p>
            <w:pPr>
              <w:spacing w:after="0" w:before="0" w:line="276"/>
              <w:jc w:val="left"/>
            </w:pPr>
            <w:r>
              <w:rPr>
                <w:rFonts w:ascii="Arial" w:cs="Arial" w:eastAsia="Arial" w:hAnsi="Arial"/>
                <w:b/>
                <w:bCs/>
                <w:i w:val="false"/>
                <w:iCs w:val="false"/>
                <w:color w:val="FFFFFF"/>
                <w:sz w:val="15"/>
                <w:szCs w:val="15"/>
              </w:rPr>
              <w:t xml:space="preserve">Item &amp; qty</w:t>
            </w:r>
          </w:p>
        </w:tc>
        <w:tc>
          <w:tcPr>
            <w:tcW w:type="dxa" w:w="2600"/>
            <w:tcBorders>
              <w:top w:val="single" w:color="BBBBBB" w:sz="4"/>
              <w:left w:val="single" w:color="BBBBBB" w:sz="4"/>
              <w:bottom w:val="single" w:color="BBBBBB" w:sz="4"/>
              <w:right w:val="single" w:color="BBBBBB" w:sz="4"/>
            </w:tcBorders>
            <w:shd w:fill="1F3B57" w:val="clear"/>
            <w:tcMar>
              <w:top w:type="dxa" w:w="50"/>
              <w:left w:type="dxa" w:w="100"/>
              <w:bottom w:type="dxa" w:w="50"/>
              <w:right w:type="dxa" w:w="100"/>
            </w:tcMar>
          </w:tcPr>
          <w:p>
            <w:pPr>
              <w:spacing w:after="0" w:before="0" w:line="276"/>
              <w:jc w:val="left"/>
            </w:pPr>
            <w:r>
              <w:rPr>
                <w:rFonts w:ascii="Arial" w:cs="Arial" w:eastAsia="Arial" w:hAnsi="Arial"/>
                <w:b/>
                <w:bCs/>
                <w:i w:val="false"/>
                <w:iCs w:val="false"/>
                <w:color w:val="FFFFFF"/>
                <w:sz w:val="15"/>
                <w:szCs w:val="15"/>
              </w:rPr>
              <w:t xml:space="preserve">Cause / stain type</w:t>
            </w:r>
          </w:p>
        </w:tc>
        <w:tc>
          <w:tcPr>
            <w:tcW w:type="dxa" w:w="2400"/>
            <w:tcBorders>
              <w:top w:val="single" w:color="BBBBBB" w:sz="4"/>
              <w:left w:val="single" w:color="BBBBBB" w:sz="4"/>
              <w:bottom w:val="single" w:color="BBBBBB" w:sz="4"/>
              <w:right w:val="single" w:color="BBBBBB" w:sz="4"/>
            </w:tcBorders>
            <w:shd w:fill="1F3B57" w:val="clear"/>
            <w:tcMar>
              <w:top w:type="dxa" w:w="50"/>
              <w:left w:type="dxa" w:w="100"/>
              <w:bottom w:type="dxa" w:w="50"/>
              <w:right w:type="dxa" w:w="100"/>
            </w:tcMar>
          </w:tcPr>
          <w:p>
            <w:pPr>
              <w:spacing w:after="0" w:before="0" w:line="276"/>
              <w:jc w:val="left"/>
            </w:pPr>
            <w:r>
              <w:rPr>
                <w:rFonts w:ascii="Arial" w:cs="Arial" w:eastAsia="Arial" w:hAnsi="Arial"/>
                <w:b/>
                <w:bCs/>
                <w:i w:val="false"/>
                <w:iCs w:val="false"/>
                <w:color w:val="FFFFFF"/>
                <w:sz w:val="15"/>
                <w:szCs w:val="15"/>
              </w:rPr>
              <w:t xml:space="preserve">Attempts &amp; date</w:t>
            </w:r>
          </w:p>
        </w:tc>
        <w:tc>
          <w:tcPr>
            <w:tcW w:type="dxa" w:w="2160"/>
            <w:tcBorders>
              <w:top w:val="single" w:color="BBBBBB" w:sz="4"/>
              <w:left w:val="single" w:color="BBBBBB" w:sz="4"/>
              <w:bottom w:val="single" w:color="BBBBBB" w:sz="4"/>
              <w:right w:val="single" w:color="BBBBBB" w:sz="4"/>
            </w:tcBorders>
            <w:shd w:fill="1F3B57" w:val="clear"/>
            <w:tcMar>
              <w:top w:type="dxa" w:w="50"/>
              <w:left w:type="dxa" w:w="100"/>
              <w:bottom w:type="dxa" w:w="50"/>
              <w:right w:type="dxa" w:w="100"/>
            </w:tcMar>
          </w:tcPr>
          <w:p>
            <w:pPr>
              <w:spacing w:after="0" w:before="0" w:line="276"/>
              <w:jc w:val="left"/>
            </w:pPr>
            <w:r>
              <w:rPr>
                <w:rFonts w:ascii="Arial" w:cs="Arial" w:eastAsia="Arial" w:hAnsi="Arial"/>
                <w:b/>
                <w:bCs/>
                <w:i w:val="false"/>
                <w:iCs w:val="false"/>
                <w:color w:val="FFFFFF"/>
                <w:sz w:val="15"/>
                <w:szCs w:val="15"/>
              </w:rPr>
              <w:t xml:space="preserve">Disposition &amp; owner</w:t>
            </w:r>
          </w:p>
        </w:tc>
      </w:tr>
      <w:tr>
        <w:tc>
          <w:tcPr>
            <w:tcW w:type="dxa" w:w="2200"/>
            <w:tcBorders>
              <w:top w:val="single" w:color="BBBBBB" w:sz="4"/>
              <w:left w:val="single" w:color="BBBBBB" w:sz="4"/>
              <w:bottom w:val="single" w:color="BBBBBB" w:sz="4"/>
              <w:right w:val="single" w:color="BBBBBB" w:sz="4"/>
            </w:tcBorders>
            <w:shd w:fill="EAF1F5" w:val="clear"/>
            <w:tcMar>
              <w:top w:type="dxa" w:w="55"/>
              <w:left w:type="dxa" w:w="100"/>
              <w:bottom w:type="dxa" w:w="55"/>
              <w:right w:type="dxa" w:w="100"/>
            </w:tcMar>
            <w:vAlign w:val="top"/>
          </w:tcPr>
          <w:p>
            <w:pPr>
              <w:spacing w:after="0" w:before="0" w:line="276"/>
              <w:jc w:val="left"/>
            </w:pPr>
            <w:r>
              <w:rPr>
                <w:rFonts w:ascii="Arial" w:cs="Arial" w:eastAsia="Arial" w:hAnsi="Arial"/>
                <w:b/>
                <w:bCs/>
                <w:i w:val="false"/>
                <w:iCs w:val="false"/>
                <w:color w:val="000000"/>
                <w:sz w:val="15"/>
                <w:szCs w:val="15"/>
              </w:rPr>
              <w:t xml:space="preserve">2 king pillowcases</w:t>
            </w:r>
          </w:p>
        </w:tc>
        <w:tc>
          <w:tcPr>
            <w:tcW w:type="dxa" w:w="26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Body-oil discoloration</w:t>
            </w:r>
          </w:p>
        </w:tc>
        <w:tc>
          <w:tcPr>
            <w:tcW w:type="dxa" w:w="24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1 treatment · 07/22</w:t>
            </w:r>
          </w:p>
        </w:tc>
        <w:tc>
          <w:tcPr>
            <w:tcW w:type="dxa" w:w="216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Downgraded (internal) · Carlos</w:t>
            </w:r>
          </w:p>
        </w:tc>
      </w:tr>
      <w:tr>
        <w:tc>
          <w:tcPr>
            <w:tcW w:type="dxa" w:w="2200"/>
            <w:tcBorders>
              <w:top w:val="single" w:color="BBBBBB" w:sz="4"/>
              <w:left w:val="single" w:color="BBBBBB" w:sz="4"/>
              <w:bottom w:val="single" w:color="BBBBBB" w:sz="4"/>
              <w:right w:val="single" w:color="BBBBBB" w:sz="4"/>
            </w:tcBorders>
            <w:shd w:fill="EAF1F5" w:val="clear"/>
            <w:tcMar>
              <w:top w:type="dxa" w:w="55"/>
              <w:left w:type="dxa" w:w="100"/>
              <w:bottom w:type="dxa" w:w="55"/>
              <w:right w:type="dxa" w:w="100"/>
            </w:tcMar>
            <w:vAlign w:val="top"/>
          </w:tcPr>
          <w:p>
            <w:pPr>
              <w:spacing w:after="0" w:before="0" w:line="276"/>
              <w:jc w:val="left"/>
            </w:pPr>
            <w:r>
              <w:rPr>
                <w:rFonts w:ascii="Arial" w:cs="Arial" w:eastAsia="Arial" w:hAnsi="Arial"/>
                <w:b/>
                <w:bCs/>
                <w:i w:val="false"/>
                <w:iCs w:val="false"/>
                <w:color w:val="000000"/>
                <w:sz w:val="15"/>
                <w:szCs w:val="15"/>
              </w:rPr>
              <w:t xml:space="preserve">1 bath towel</w:t>
            </w:r>
          </w:p>
        </w:tc>
        <w:tc>
          <w:tcPr>
            <w:tcW w:type="dxa" w:w="26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Bleach spot</w:t>
            </w:r>
          </w:p>
        </w:tc>
        <w:tc>
          <w:tcPr>
            <w:tcW w:type="dxa" w:w="24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0 · 07/25</w:t>
            </w:r>
          </w:p>
        </w:tc>
        <w:tc>
          <w:tcPr>
            <w:tcW w:type="dxa" w:w="216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Retired · replacement reserve · Emily</w:t>
            </w:r>
          </w:p>
        </w:tc>
      </w:tr>
      <w:tr>
        <w:tc>
          <w:tcPr>
            <w:tcW w:type="dxa" w:w="2200"/>
            <w:tcBorders>
              <w:top w:val="single" w:color="BBBBBB" w:sz="4"/>
              <w:left w:val="single" w:color="BBBBBB" w:sz="4"/>
              <w:bottom w:val="single" w:color="BBBBBB" w:sz="4"/>
              <w:right w:val="single" w:color="BBBBBB" w:sz="4"/>
            </w:tcBorders>
            <w:shd w:fill="EAF1F5" w:val="clear"/>
            <w:tcMar>
              <w:top w:type="dxa" w:w="55"/>
              <w:left w:type="dxa" w:w="100"/>
              <w:bottom w:type="dxa" w:w="55"/>
              <w:right w:type="dxa" w:w="100"/>
            </w:tcMar>
            <w:vAlign w:val="top"/>
          </w:tcPr>
          <w:p>
            <w:pPr>
              <w:spacing w:after="0" w:before="0" w:line="276"/>
              <w:jc w:val="left"/>
            </w:pPr>
            <w:r>
              <w:rPr>
                <w:rFonts w:ascii="Arial" w:cs="Arial" w:eastAsia="Arial" w:hAnsi="Arial"/>
                <w:b/>
                <w:bCs/>
                <w:i w:val="false"/>
                <w:iCs w:val="false"/>
                <w:color w:val="000000"/>
                <w:sz w:val="15"/>
                <w:szCs w:val="15"/>
              </w:rPr>
              <w:t xml:space="preserve">1 duvet cover</w:t>
            </w:r>
          </w:p>
        </w:tc>
        <w:tc>
          <w:tcPr>
            <w:tcW w:type="dxa" w:w="26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Ink — treatable</w:t>
            </w:r>
          </w:p>
        </w:tc>
        <w:tc>
          <w:tcPr>
            <w:tcW w:type="dxa" w:w="24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1 treatment · 07/26</w:t>
            </w:r>
          </w:p>
        </w:tc>
        <w:tc>
          <w:tcPr>
            <w:tcW w:type="dxa" w:w="216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Returned to service · RidgeLine</w:t>
            </w:r>
          </w:p>
        </w:tc>
      </w:tr>
      <w:tr>
        <w:tc>
          <w:tcPr>
            <w:tcW w:type="dxa" w:w="2200"/>
            <w:tcBorders>
              <w:top w:val="single" w:color="BBBBBB" w:sz="4"/>
              <w:left w:val="single" w:color="BBBBBB" w:sz="4"/>
              <w:bottom w:val="single" w:color="BBBBBB" w:sz="4"/>
              <w:right w:val="single" w:color="BBBBBB" w:sz="4"/>
            </w:tcBorders>
            <w:shd w:fill="EAF1F5" w:val="clear"/>
            <w:tcMar>
              <w:top w:type="dxa" w:w="55"/>
              <w:left w:type="dxa" w:w="100"/>
              <w:bottom w:type="dxa" w:w="55"/>
              <w:right w:type="dxa" w:w="100"/>
            </w:tcMar>
            <w:vAlign w:val="top"/>
          </w:tcPr>
          <w:p>
            <w:pPr>
              <w:spacing w:after="0" w:before="0" w:line="276"/>
              <w:jc w:val="left"/>
            </w:pPr>
            <w:r>
              <w:rPr>
                <w:rFonts w:ascii="Arial" w:cs="Arial" w:eastAsia="Arial" w:hAnsi="Arial"/>
                <w:b/>
                <w:bCs/>
                <w:i w:val="false"/>
                <w:iCs w:val="false"/>
                <w:color w:val="000000"/>
                <w:sz w:val="15"/>
                <w:szCs w:val="15"/>
              </w:rPr>
              <w:t xml:space="preserve"/>
            </w:r>
          </w:p>
        </w:tc>
        <w:tc>
          <w:tcPr>
            <w:tcW w:type="dxa" w:w="26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
            </w:r>
          </w:p>
        </w:tc>
        <w:tc>
          <w:tcPr>
            <w:tcW w:type="dxa" w:w="24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
            </w:r>
          </w:p>
        </w:tc>
        <w:tc>
          <w:tcPr>
            <w:tcW w:type="dxa" w:w="216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
            </w:r>
          </w:p>
        </w:tc>
      </w:tr>
    </w:tbl>
    <w:p>
      <w:pPr>
        <w:spacing w:after="120" w:before="120" w:line="276"/>
        <w:jc w:val="left"/>
      </w:pPr>
      <w:r>
        <w:rPr>
          <w:rFonts w:ascii="Arial" w:cs="Arial" w:eastAsia="Arial" w:hAnsi="Arial"/>
          <w:b w:val="false"/>
          <w:bCs w:val="false"/>
          <w:i/>
          <w:iCs/>
          <w:color w:val="777777"/>
          <w:sz w:val="16"/>
          <w:szCs w:val="16"/>
        </w:rPr>
        <w:t xml:space="preserve">A planning instrument, not a guarantee of business success. Vendor-neutral — usable with any tools, team structure, or software.  ·  The STR Cleaning Blueprint™</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2026-07-31T15:16:47.899Z</dcterms:created>
  <dcterms:modified xsi:type="dcterms:W3CDTF">2026-07-31T15:16:47.900Z</dcterms:modified>
</cp:coreProperties>
</file>

<file path=docProps/custom.xml><?xml version="1.0" encoding="utf-8"?>
<Properties xmlns="http://schemas.openxmlformats.org/officeDocument/2006/custom-properties" xmlns:vt="http://schemas.openxmlformats.org/officeDocument/2006/docPropsVTypes"/>
</file>