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left w:val="none"/>
          <w:bottom w:val="none"/>
          <w:right w:val="none"/>
          <w:insideH w:val="none"/>
          <w:insideV w:val="none"/>
        </w:tblBorders>
      </w:tblPr>
      <w:tblGrid>
        <w:gridCol w:w="9360"/>
      </w:tblGrid>
      <w:tr>
        <w:tc>
          <w:tcPr>
            <w:tcW w:type="dxa" w:w="9360"/>
            <w:shd w:fill="1F3B57" w:val="clear"/>
            <w:tcMar>
              <w:top w:type="dxa" w:w="120"/>
              <w:left w:type="dxa" w:w="180"/>
              <w:bottom w:type="dxa" w:w="120"/>
              <w:right w:type="dxa" w:w="180"/>
            </w:tcMar>
          </w:tcPr>
          <w:p>
            <w:pPr>
              <w:spacing w:after="0"/>
            </w:pPr>
            <w:r>
              <w:rPr>
                <w:rFonts w:ascii="Arial" w:cs="Arial" w:eastAsia="Arial" w:hAnsi="Arial"/>
                <w:b/>
                <w:bCs/>
                <w:i w:val="false"/>
                <w:iCs w:val="false"/>
                <w:color w:val="FFFFFF"/>
                <w:sz w:val="27"/>
                <w:szCs w:val="27"/>
              </w:rPr>
              <w:t xml:space="preserve">Peak-Day Disruption Playbook &amp; Safety/Chemical SOP Index</w:t>
            </w:r>
          </w:p>
        </w:tc>
      </w:tr>
      <w:tr>
        <w:tc>
          <w:tcPr>
            <w:tcW w:type="dxa" w:w="9360"/>
            <w:shd w:fill="2E6E8E" w:val="clear"/>
            <w:tcMar>
              <w:top w:type="dxa" w:w="80"/>
              <w:left w:type="dxa" w:w="180"/>
              <w:bottom w:type="dxa" w:w="80"/>
              <w:right w:type="dxa" w:w="180"/>
            </w:tcMar>
          </w:tcPr>
          <w:p>
            <w:pPr>
              <w:spacing w:after="0"/>
            </w:pPr>
            <w:r>
              <w:rPr>
                <w:rFonts w:ascii="Arial" w:cs="Arial" w:eastAsia="Arial" w:hAnsi="Arial"/>
                <w:b w:val="false"/>
                <w:bCs w:val="false"/>
                <w:i w:val="false"/>
                <w:iCs w:val="false"/>
                <w:color w:val="FFFFFF"/>
                <w:sz w:val="18"/>
                <w:szCs w:val="18"/>
              </w:rPr>
              <w:t xml:space="preserve">The STR Cleaning Blueprint™  ·  Chapter 8  ·  Operations Vault</w:t>
            </w:r>
          </w:p>
        </w:tc>
      </w:tr>
    </w:tbl>
    <w:p>
      <w:pPr>
        <w:spacing w:after="80"/>
      </w:pPr>
      <w:r>
        <w:rPr>
          <w:rFonts w:ascii="Arial" w:cs="Arial" w:eastAsia="Arial" w:hAnsi="Arial"/>
          <w:b w:val="false"/>
          <w:bCs w:val="false"/>
          <w:i w:val="false"/>
          <w:iCs w:val="false"/>
          <w:color w:val="000000"/>
          <w:sz w:val="21"/>
          <w:szCs w:val="21"/>
        </w:rPr>
        <w:t xml:space="preserve"/>
      </w:r>
    </w:p>
    <w:p>
      <w:pPr>
        <w:spacing w:after="120" w:before="0" w:line="276"/>
        <w:jc w:val="left"/>
      </w:pPr>
      <w:r>
        <w:rPr>
          <w:rFonts w:ascii="Arial" w:cs="Arial" w:eastAsia="Arial" w:hAnsi="Arial"/>
          <w:b/>
          <w:bCs/>
          <w:i w:val="false"/>
          <w:iCs w:val="false"/>
          <w:color w:val="000000"/>
          <w:sz w:val="21"/>
          <w:szCs w:val="21"/>
        </w:rPr>
        <w:t xml:space="preserve">Purpose.  </w:t>
      </w:r>
      <w:r>
        <w:rPr>
          <w:rFonts w:ascii="Arial" w:cs="Arial" w:eastAsia="Arial" w:hAnsi="Arial"/>
          <w:b w:val="false"/>
          <w:bCs w:val="false"/>
          <w:i w:val="false"/>
          <w:iCs w:val="false"/>
          <w:color w:val="000000"/>
          <w:sz w:val="21"/>
          <w:szCs w:val="21"/>
        </w:rPr>
        <w:t xml:space="preserve">An emergency save is not proof the system worked — it is evidence people absorbed the cost of a system that did not. This playbook defines the triggers and authorized responses before the peak day, so disruption enters a controlled system instead of hidden labor. It also indexes the safety and chemical SOPs that govern the soiled side.</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1 — DISRUPTION TRIGGERS &amp; AUTHORIZED RESPONSE</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3100"/>
        <w:gridCol w:w="4060"/>
      </w:tblGrid>
      <w:tr>
        <w:trPr>
          <w:tblHeader/>
        </w:trPr>
        <w:tc>
          <w:tcPr>
            <w:tcW w:type="dxa" w:w="22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Trigger</w:t>
            </w:r>
          </w:p>
        </w:tc>
        <w:tc>
          <w:tcPr>
            <w:tcW w:type="dxa" w:w="31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Threshold</w:t>
            </w:r>
          </w:p>
        </w:tc>
        <w:tc>
          <w:tcPr>
            <w:tcW w:type="dxa" w:w="406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Authorized response</w:t>
            </w:r>
          </w:p>
        </w:tc>
      </w:tr>
      <w:tr>
        <w:tc>
          <w:tcPr>
            <w:tcW w:type="dxa" w:w="22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Processing bottleneck</w:t>
            </w:r>
          </w:p>
        </w:tc>
        <w:tc>
          <w:tcPr>
            <w:tcW w:type="dxa" w:w="31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Cycle time exceeds standard</w:t>
            </w:r>
          </w:p>
        </w:tc>
        <w:tc>
          <w:tcPr>
            <w:tcW w:type="dxa" w:w="40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Vent/equipment check; redirect load to backup vendor.</w:t>
            </w:r>
          </w:p>
        </w:tc>
      </w:tr>
      <w:tr>
        <w:tc>
          <w:tcPr>
            <w:tcW w:type="dxa" w:w="22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Material-ready cutoff missed</w:t>
            </w:r>
          </w:p>
        </w:tc>
        <w:tc>
          <w:tcPr>
            <w:tcW w:type="dxa" w:w="31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Pack late vs cutoff</w:t>
            </w:r>
          </w:p>
        </w:tc>
        <w:tc>
          <w:tcPr>
            <w:tcW w:type="dxa" w:w="40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Release route reserve; rebuild affected stops.</w:t>
            </w:r>
          </w:p>
        </w:tc>
      </w:tr>
      <w:tr>
        <w:tc>
          <w:tcPr>
            <w:tcW w:type="dxa" w:w="22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Staffing shortfall</w:t>
            </w:r>
          </w:p>
        </w:tc>
        <w:tc>
          <w:tcPr>
            <w:tcW w:type="dxa" w:w="31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Sick call / no-show on peak day</w:t>
            </w:r>
          </w:p>
        </w:tc>
        <w:tc>
          <w:tcPr>
            <w:tcW w:type="dxa" w:w="40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Reassign; escalate to overtime if window at risk.</w:t>
            </w:r>
          </w:p>
        </w:tc>
      </w:tr>
      <w:tr>
        <w:tc>
          <w:tcPr>
            <w:tcW w:type="dxa" w:w="22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Reserve depletion</w:t>
            </w:r>
          </w:p>
        </w:tc>
        <w:tc>
          <w:tcPr>
            <w:tcW w:type="dxa" w:w="31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Route/emergency reserve issued</w:t>
            </w:r>
          </w:p>
        </w:tc>
        <w:tc>
          <w:tcPr>
            <w:tcW w:type="dxa" w:w="40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Replenish to threshold; log cause code.</w:t>
            </w:r>
          </w:p>
        </w:tc>
      </w:tr>
      <w:tr>
        <w:tc>
          <w:tcPr>
            <w:tcW w:type="dxa" w:w="22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Repeat failure</w:t>
            </w:r>
          </w:p>
        </w:tc>
        <w:tc>
          <w:tcPr>
            <w:tcW w:type="dxa" w:w="31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2+ readiness failures / 30 days</w:t>
            </w:r>
          </w:p>
        </w:tc>
        <w:tc>
          <w:tcPr>
            <w:tcW w:type="dxa" w:w="40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Escalate to capacity or capital decision.</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2 — PEAK-DAY STRESS TEST (RUN BEFORE THE SEASON)</w:t>
            </w:r>
          </w:p>
        </w:tc>
      </w:tr>
    </w:tbl>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Use the highest realistic same-day turnover concentration.</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Add stain reprocessing and expected reject volume.</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Assume one meaningful disruption: sick call, dryer outage, route delay, or water interruption.</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Include folding, inspection, packing, and staging — not only wash and dry time.</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Confirm when the last required pack becomes available vs route departure and check-in deadlines.</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Define the decision trigger for overtime, outsourcing, reserve release, or schedule rebuild.</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EAF1F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CASE STUDY LESSON</w:t>
            </w:r>
          </w:p>
          <w:p>
            <w:pPr>
              <w:spacing w:after="40" w:before="0" w:line="276"/>
              <w:jc w:val="left"/>
            </w:pPr>
            <w:r>
              <w:rPr>
                <w:rFonts w:ascii="Arial" w:cs="Arial" w:eastAsia="Arial" w:hAnsi="Arial"/>
                <w:b w:val="false"/>
                <w:bCs w:val="false"/>
                <w:i w:val="false"/>
                <w:iCs w:val="false"/>
                <w:color w:val="000000"/>
                <w:sz w:val="19"/>
                <w:szCs w:val="19"/>
              </w:rPr>
              <w:t xml:space="preserve">Reliable inventory is not created by owning more. It is created by knowing what exists, where it is, what condition it is in, how fast it moves, and what decision occurs when the flow deviates.</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3 — LAUNDRY SAFETY &amp; CHEMICAL SOP INDEX</w:t>
            </w:r>
          </w:p>
        </w:tc>
      </w:tr>
    </w:tbl>
    <w:p>
      <w:pPr>
        <w:spacing w:after="100" w:before="0" w:line="276"/>
        <w:jc w:val="left"/>
      </w:pPr>
      <w:r>
        <w:rPr>
          <w:rFonts w:ascii="Arial" w:cs="Arial" w:eastAsia="Arial" w:hAnsi="Arial"/>
          <w:b w:val="false"/>
          <w:bCs w:val="false"/>
          <w:i/>
          <w:iCs/>
          <w:color w:val="777777"/>
          <w:sz w:val="18"/>
          <w:szCs w:val="18"/>
        </w:rPr>
        <w:t xml:space="preserve">Chapter 8 defines the operating controls; the current product-specific procedures and SDS live in the Vault. This index links them — including the high-touch protocol from Chapter 7.</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5160"/>
      </w:tblGrid>
      <w:tr>
        <w:tc>
          <w:tcPr>
            <w:tcW w:type="dxa" w:w="42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Disinfection / high-touch protocol</w:t>
            </w:r>
          </w:p>
        </w:tc>
        <w:tc>
          <w:tcPr>
            <w:tcW w:type="dxa" w:w="51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42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Approved chemical &amp; dwell-time register</w:t>
            </w:r>
          </w:p>
        </w:tc>
        <w:tc>
          <w:tcPr>
            <w:tcW w:type="dxa" w:w="51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42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Textile care / temperature by sort class</w:t>
            </w:r>
          </w:p>
        </w:tc>
        <w:tc>
          <w:tcPr>
            <w:tcW w:type="dxa" w:w="51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42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Bloodborne-pathogen / contamination handling</w:t>
            </w:r>
          </w:p>
        </w:tc>
        <w:tc>
          <w:tcPr>
            <w:tcW w:type="dxa" w:w="51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42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Exposure / spill response &amp; SDS location</w:t>
            </w:r>
          </w:p>
        </w:tc>
        <w:tc>
          <w:tcPr>
            <w:tcW w:type="dxa" w:w="51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FFF6D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MEASUREMENT DISCIPLINE</w:t>
            </w:r>
          </w:p>
          <w:p>
            <w:pPr>
              <w:spacing w:after="40" w:before="0" w:line="276"/>
              <w:jc w:val="left"/>
            </w:pPr>
            <w:r>
              <w:rPr>
                <w:rFonts w:ascii="Arial" w:cs="Arial" w:eastAsia="Arial" w:hAnsi="Arial"/>
                <w:b w:val="false"/>
                <w:bCs w:val="false"/>
                <w:i w:val="false"/>
                <w:iCs w:val="false"/>
                <w:color w:val="000000"/>
                <w:sz w:val="19"/>
                <w:szCs w:val="19"/>
              </w:rPr>
              <w:t xml:space="preserve">Do not improve a metric by hiding the event. Emergency retail purchases, borrowed stock, unrecorded rewash, and cleaner-supplied items must enter the data if the dashboard is expected to describe reality.</w:t>
            </w:r>
          </w:p>
        </w:tc>
      </w:tr>
    </w:tbl>
    <w:p>
      <w:pPr>
        <w:spacing w:after="120" w:before="120" w:line="276"/>
        <w:jc w:val="left"/>
      </w:pPr>
      <w:r>
        <w:rPr>
          <w:rFonts w:ascii="Arial" w:cs="Arial" w:eastAsia="Arial" w:hAnsi="Arial"/>
          <w:b w:val="false"/>
          <w:bCs w:val="false"/>
          <w:i/>
          <w:iCs/>
          <w:color w:val="777777"/>
          <w:sz w:val="16"/>
          <w:szCs w:val="16"/>
        </w:rPr>
        <w:t xml:space="preserve">A planning instrument, not a guarantee of business success. Vendor-neutral — usable with any tools, team structure, or software.  ·  The STR Cleaning Blueprint™</w:t>
      </w:r>
    </w:p>
    <w:p>
      <w:pPr>
        <w:sectPr>
          <w:pgSz w:w="12240" w:h="15840" w:orient="portrait"/>
          <w:pgMar w:top="1080" w:right="1440" w:bottom="1080" w:left="1440" w:header="708" w:footer="708" w:gutter="0"/>
          <w:pgNumType/>
          <w:docGrid w:linePitch="360"/>
        </w:sectPr>
      </w:pPr>
    </w:p>
    <w:tbl>
      <w:tblPr>
        <w:tblW w:type="dxa" w:w="9360"/>
        <w:tblBorders>
          <w:top w:val="none"/>
          <w:left w:val="none"/>
          <w:bottom w:val="none"/>
          <w:right w:val="none"/>
          <w:insideH w:val="none"/>
          <w:insideV w:val="none"/>
        </w:tblBorders>
      </w:tblPr>
      <w:tblGrid>
        <w:gridCol w:w="9360"/>
      </w:tblGrid>
      <w:tr>
        <w:tc>
          <w:tcPr>
            <w:tcW w:type="dxa" w:w="9360"/>
            <w:shd w:fill="1F3B57" w:val="clear"/>
            <w:tcMar>
              <w:top w:type="dxa" w:w="120"/>
              <w:left w:type="dxa" w:w="180"/>
              <w:bottom w:type="dxa" w:w="120"/>
              <w:right w:type="dxa" w:w="180"/>
            </w:tcMar>
          </w:tcPr>
          <w:p>
            <w:pPr>
              <w:spacing w:after="0"/>
            </w:pPr>
            <w:r>
              <w:rPr>
                <w:rFonts w:ascii="Arial" w:cs="Arial" w:eastAsia="Arial" w:hAnsi="Arial"/>
                <w:b/>
                <w:bCs/>
                <w:i w:val="false"/>
                <w:iCs w:val="false"/>
                <w:color w:val="FFFFFF"/>
                <w:sz w:val="27"/>
                <w:szCs w:val="27"/>
              </w:rPr>
              <w:t xml:space="preserve">Peak-Day Disruption Playbook &amp; Safety/Chemical SOP Index — Worked Example</w:t>
            </w:r>
          </w:p>
        </w:tc>
      </w:tr>
      <w:tr>
        <w:tc>
          <w:tcPr>
            <w:tcW w:type="dxa" w:w="9360"/>
            <w:shd w:fill="2E6E8E" w:val="clear"/>
            <w:tcMar>
              <w:top w:type="dxa" w:w="80"/>
              <w:left w:type="dxa" w:w="180"/>
              <w:bottom w:type="dxa" w:w="80"/>
              <w:right w:type="dxa" w:w="180"/>
            </w:tcMar>
          </w:tcPr>
          <w:p>
            <w:pPr>
              <w:spacing w:after="0"/>
            </w:pPr>
            <w:r>
              <w:rPr>
                <w:rFonts w:ascii="Arial" w:cs="Arial" w:eastAsia="Arial" w:hAnsi="Arial"/>
                <w:b w:val="false"/>
                <w:bCs w:val="false"/>
                <w:i w:val="false"/>
                <w:iCs w:val="false"/>
                <w:color w:val="FFFFFF"/>
                <w:sz w:val="18"/>
                <w:szCs w:val="18"/>
              </w:rPr>
              <w:t xml:space="preserve">The STR Cleaning Blueprint™  ·  Chapter 8  ·  Operations Vault   |   Summit Cleaning Solutions</w:t>
            </w:r>
          </w:p>
        </w:tc>
      </w:tr>
    </w:tbl>
    <w:p>
      <w:pPr>
        <w:spacing w:after="80"/>
      </w:pPr>
      <w:r>
        <w:rPr>
          <w:rFonts w:ascii="Arial" w:cs="Arial" w:eastAsia="Arial" w:hAnsi="Arial"/>
          <w:b w:val="false"/>
          <w:bCs w:val="false"/>
          <w:i w:val="false"/>
          <w:iCs w:val="false"/>
          <w:color w:val="000000"/>
          <w:sz w:val="21"/>
          <w:szCs w:val="21"/>
        </w:rPr>
        <w:t xml:space="preserve"/>
      </w:r>
    </w:p>
    <w:p>
      <w:pPr>
        <w:spacing w:after="120" w:before="0" w:line="276"/>
        <w:jc w:val="left"/>
      </w:pPr>
      <w:r>
        <w:rPr>
          <w:rFonts w:ascii="Arial" w:cs="Arial" w:eastAsia="Arial" w:hAnsi="Arial"/>
          <w:b w:val="false"/>
          <w:bCs w:val="false"/>
          <w:i/>
          <w:iCs/>
          <w:color w:val="777777"/>
          <w:sz w:val="21"/>
          <w:szCs w:val="21"/>
        </w:rPr>
        <w:t xml:space="preserve">Worked for Summit Cleaning Solutions — the rebuilt Saturday. Six weeks after the towel shortage, a sick call and dryer fault hit a controlled system: Carlos released route reserve, redirected one load to RidgeLine backup, recorded the cost, and protected the final delivery window. No crew waited; no owner saw a mismatched towel.</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1 — DISRUPTION TRIGGERS &amp; AUTHORIZED RESPONSE</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3100"/>
        <w:gridCol w:w="4060"/>
      </w:tblGrid>
      <w:tr>
        <w:trPr>
          <w:tblHeader/>
        </w:trPr>
        <w:tc>
          <w:tcPr>
            <w:tcW w:type="dxa" w:w="22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Trigger</w:t>
            </w:r>
          </w:p>
        </w:tc>
        <w:tc>
          <w:tcPr>
            <w:tcW w:type="dxa" w:w="31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Threshold</w:t>
            </w:r>
          </w:p>
        </w:tc>
        <w:tc>
          <w:tcPr>
            <w:tcW w:type="dxa" w:w="406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Authorized response</w:t>
            </w:r>
          </w:p>
        </w:tc>
      </w:tr>
      <w:tr>
        <w:tc>
          <w:tcPr>
            <w:tcW w:type="dxa" w:w="22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Processing bottleneck</w:t>
            </w:r>
          </w:p>
        </w:tc>
        <w:tc>
          <w:tcPr>
            <w:tcW w:type="dxa" w:w="31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Dryer cycle variance &gt; 15 min</w:t>
            </w:r>
          </w:p>
        </w:tc>
        <w:tc>
          <w:tcPr>
            <w:tcW w:type="dxa" w:w="40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Vent/equipment check; redirect load to backup vendor.</w:t>
            </w:r>
          </w:p>
        </w:tc>
      </w:tr>
      <w:tr>
        <w:tc>
          <w:tcPr>
            <w:tcW w:type="dxa" w:w="22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Material-ready cutoff missed</w:t>
            </w:r>
          </w:p>
        </w:tc>
        <w:tc>
          <w:tcPr>
            <w:tcW w:type="dxa" w:w="31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Pack not ready 2 hrs before route departure</w:t>
            </w:r>
          </w:p>
        </w:tc>
        <w:tc>
          <w:tcPr>
            <w:tcW w:type="dxa" w:w="40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Release route reserve; rebuild affected stops.</w:t>
            </w:r>
          </w:p>
        </w:tc>
      </w:tr>
      <w:tr>
        <w:tc>
          <w:tcPr>
            <w:tcW w:type="dxa" w:w="22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Staffing shortfall</w:t>
            </w:r>
          </w:p>
        </w:tc>
        <w:tc>
          <w:tcPr>
            <w:tcW w:type="dxa" w:w="31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Sick call / no-show on peak day</w:t>
            </w:r>
          </w:p>
        </w:tc>
        <w:tc>
          <w:tcPr>
            <w:tcW w:type="dxa" w:w="40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Reassign; escalate to overtime if window at risk.</w:t>
            </w:r>
          </w:p>
        </w:tc>
      </w:tr>
      <w:tr>
        <w:tc>
          <w:tcPr>
            <w:tcW w:type="dxa" w:w="22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Reserve depletion</w:t>
            </w:r>
          </w:p>
        </w:tc>
        <w:tc>
          <w:tcPr>
            <w:tcW w:type="dxa" w:w="31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Route/emergency reserve issued</w:t>
            </w:r>
          </w:p>
        </w:tc>
        <w:tc>
          <w:tcPr>
            <w:tcW w:type="dxa" w:w="40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Replenish to threshold; log cause code.</w:t>
            </w:r>
          </w:p>
        </w:tc>
      </w:tr>
      <w:tr>
        <w:tc>
          <w:tcPr>
            <w:tcW w:type="dxa" w:w="22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Repeat failure</w:t>
            </w:r>
          </w:p>
        </w:tc>
        <w:tc>
          <w:tcPr>
            <w:tcW w:type="dxa" w:w="31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Backup vendor activated 2× same cause</w:t>
            </w:r>
          </w:p>
        </w:tc>
        <w:tc>
          <w:tcPr>
            <w:tcW w:type="dxa" w:w="40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Escalate to capacity or capital decision.</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2 — PEAK-DAY STRESS TEST (RUN BEFORE THE SEASON)</w:t>
            </w:r>
          </w:p>
        </w:tc>
      </w:tr>
    </w:tbl>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Use the highest realistic same-day turnover concentration.</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Add stain reprocessing and expected reject volume.</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Assume one meaningful disruption: sick call, dryer outage, route delay, or water interruption.</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Include folding, inspection, packing, and staging — not only wash and dry time.</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Confirm when the last required pack becomes available vs route departure and check-in deadlines.</w:t>
      </w:r>
    </w:p>
    <w:p>
      <w:pPr>
        <w:spacing w:after="60" w:before="0" w:line="276"/>
        <w:jc w:val="left"/>
      </w:pPr>
      <w:r>
        <w:rPr>
          <w:rFonts w:ascii="Arial" w:cs="Arial" w:eastAsia="Arial" w:hAnsi="Arial"/>
          <w:b w:val="false"/>
          <w:bCs w:val="false"/>
          <w:i w:val="false"/>
          <w:iCs w:val="false"/>
          <w:color w:val="555555"/>
          <w:sz w:val="20"/>
          <w:szCs w:val="20"/>
        </w:rPr>
        <w:t xml:space="preserve">☐   </w:t>
      </w:r>
      <w:r>
        <w:rPr>
          <w:rFonts w:ascii="Arial" w:cs="Arial" w:eastAsia="Arial" w:hAnsi="Arial"/>
          <w:b w:val="false"/>
          <w:bCs w:val="false"/>
          <w:i w:val="false"/>
          <w:iCs w:val="false"/>
          <w:color w:val="000000"/>
          <w:sz w:val="19"/>
          <w:szCs w:val="19"/>
        </w:rPr>
        <w:t xml:space="preserve">Define the decision trigger for overtime, outsourcing, reserve release, or schedule rebuild.</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EAF1F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CASE STUDY LESSON</w:t>
            </w:r>
          </w:p>
          <w:p>
            <w:pPr>
              <w:spacing w:after="40" w:before="0" w:line="276"/>
              <w:jc w:val="left"/>
            </w:pPr>
            <w:r>
              <w:rPr>
                <w:rFonts w:ascii="Arial" w:cs="Arial" w:eastAsia="Arial" w:hAnsi="Arial"/>
                <w:b w:val="false"/>
                <w:bCs w:val="false"/>
                <w:i w:val="false"/>
                <w:iCs w:val="false"/>
                <w:color w:val="000000"/>
                <w:sz w:val="19"/>
                <w:szCs w:val="19"/>
              </w:rPr>
              <w:t xml:space="preserve">Reliable inventory is not created by owning more. It is created by knowing what exists, where it is, what condition it is in, how fast it moves, and what decision occurs when the flow deviates.</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3 — LAUNDRY SAFETY &amp; CHEMICAL SOP INDEX</w:t>
            </w:r>
          </w:p>
        </w:tc>
      </w:tr>
    </w:tbl>
    <w:p>
      <w:pPr>
        <w:spacing w:after="100" w:before="0" w:line="276"/>
        <w:jc w:val="left"/>
      </w:pPr>
      <w:r>
        <w:rPr>
          <w:rFonts w:ascii="Arial" w:cs="Arial" w:eastAsia="Arial" w:hAnsi="Arial"/>
          <w:b w:val="false"/>
          <w:bCs w:val="false"/>
          <w:i/>
          <w:iCs/>
          <w:color w:val="777777"/>
          <w:sz w:val="18"/>
          <w:szCs w:val="18"/>
        </w:rPr>
        <w:t xml:space="preserve">Chapter 8 defines the operating controls; the current product-specific procedures and SDS live in the Vault. This index links them — including the high-touch protocol from Chapter 7.</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5160"/>
      </w:tblGrid>
      <w:tr>
        <w:tc>
          <w:tcPr>
            <w:tcW w:type="dxa" w:w="42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Disinfection / high-touch protocol</w:t>
            </w:r>
          </w:p>
        </w:tc>
        <w:tc>
          <w:tcPr>
            <w:tcW w:type="dxa" w:w="51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SAN-01 v2 (Chapter 7)</w:t>
            </w:r>
          </w:p>
        </w:tc>
      </w:tr>
      <w:tr>
        <w:tc>
          <w:tcPr>
            <w:tcW w:type="dxa" w:w="42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Approved chemical &amp; dwell-time register</w:t>
            </w:r>
          </w:p>
        </w:tc>
        <w:tc>
          <w:tcPr>
            <w:tcW w:type="dxa" w:w="51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Chapter 7 register v2</w:t>
            </w:r>
          </w:p>
        </w:tc>
      </w:tr>
      <w:tr>
        <w:tc>
          <w:tcPr>
            <w:tcW w:type="dxa" w:w="42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Textile care / temperature by sort class</w:t>
            </w:r>
          </w:p>
        </w:tc>
        <w:tc>
          <w:tcPr>
            <w:tcW w:type="dxa" w:w="51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RidgeLine care matrix (whites hot; colors warm)</w:t>
            </w:r>
          </w:p>
        </w:tc>
      </w:tr>
      <w:tr>
        <w:tc>
          <w:tcPr>
            <w:tcW w:type="dxa" w:w="42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Bloodborne-pathogen / contamination handling</w:t>
            </w:r>
          </w:p>
        </w:tc>
        <w:tc>
          <w:tcPr>
            <w:tcW w:type="dxa" w:w="51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Isolate, bag, label; PPE per SDS</w:t>
            </w:r>
          </w:p>
        </w:tc>
      </w:tr>
      <w:tr>
        <w:tc>
          <w:tcPr>
            <w:tcW w:type="dxa" w:w="42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Exposure / spill response &amp; SDS location</w:t>
            </w:r>
          </w:p>
        </w:tc>
        <w:tc>
          <w:tcPr>
            <w:tcW w:type="dxa" w:w="51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Vault &gt; Safety &gt; SDS; notify Emily same day</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FFF6D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MEASUREMENT DISCIPLINE</w:t>
            </w:r>
          </w:p>
          <w:p>
            <w:pPr>
              <w:spacing w:after="40" w:before="0" w:line="276"/>
              <w:jc w:val="left"/>
            </w:pPr>
            <w:r>
              <w:rPr>
                <w:rFonts w:ascii="Arial" w:cs="Arial" w:eastAsia="Arial" w:hAnsi="Arial"/>
                <w:b w:val="false"/>
                <w:bCs w:val="false"/>
                <w:i w:val="false"/>
                <w:iCs w:val="false"/>
                <w:color w:val="000000"/>
                <w:sz w:val="19"/>
                <w:szCs w:val="19"/>
              </w:rPr>
              <w:t xml:space="preserve">Do not improve a metric by hiding the event. Emergency retail purchases, borrowed stock, unrecorded rewash, and cleaner-supplied items must enter the data if the dashboard is expected to describe reality.</w:t>
            </w:r>
          </w:p>
        </w:tc>
      </w:tr>
    </w:tbl>
    <w:p>
      <w:pPr>
        <w:spacing w:after="120" w:before="120" w:line="276"/>
        <w:jc w:val="left"/>
      </w:pPr>
      <w:r>
        <w:rPr>
          <w:rFonts w:ascii="Arial" w:cs="Arial" w:eastAsia="Arial" w:hAnsi="Arial"/>
          <w:b w:val="false"/>
          <w:bCs w:val="false"/>
          <w:i/>
          <w:iCs/>
          <w:color w:val="777777"/>
          <w:sz w:val="16"/>
          <w:szCs w:val="16"/>
        </w:rPr>
        <w:t xml:space="preserve">A planning instrument, not a guarantee of business success. Vendor-neutral — usable with any tools, team structure, or software.  ·  The STR Cleaning Blueprint™</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2026-07-31T15:16:48.003Z</dcterms:created>
  <dcterms:modified xsi:type="dcterms:W3CDTF">2026-07-31T15:16:48.003Z</dcterms:modified>
</cp:coreProperties>
</file>

<file path=docProps/custom.xml><?xml version="1.0" encoding="utf-8"?>
<Properties xmlns="http://schemas.openxmlformats.org/officeDocument/2006/custom-properties" xmlns:vt="http://schemas.openxmlformats.org/officeDocument/2006/docPropsVTypes"/>
</file>