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Route Manifest, Chain-of-Custody &amp; Transfer Record</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8  ·  Operations Vault</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bCs/>
          <w:i w:val="false"/>
          <w:iCs w:val="false"/>
          <w:color w:val="000000"/>
          <w:sz w:val="21"/>
          <w:szCs w:val="21"/>
        </w:rPr>
        <w:t xml:space="preserve">Purpose.  </w:t>
      </w:r>
      <w:r>
        <w:rPr>
          <w:rFonts w:ascii="Arial" w:cs="Arial" w:eastAsia="Arial" w:hAnsi="Arial"/>
          <w:b w:val="false"/>
          <w:bCs w:val="false"/>
          <w:i w:val="false"/>
          <w:iCs w:val="false"/>
          <w:color w:val="000000"/>
          <w:sz w:val="21"/>
          <w:szCs w:val="21"/>
        </w:rPr>
        <w:t xml:space="preserve">Inventory becomes uncertain when responsibility disappears between locations. Chain of custody identifies who received, transported, delivered, transferred, or returned material — sufficient to locate variance and protect accountability. Route closeout compares planned to actual movement before the vehicle and staging area reset.</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INVENTORY AUTHORITY RECORD (SET OWNERSHIP FIRST)</w:t>
            </w:r>
          </w:p>
        </w:tc>
      </w:tr>
    </w:tbl>
    <w:p>
      <w:pPr>
        <w:spacing w:after="100" w:before="0" w:line="276"/>
        <w:jc w:val="left"/>
      </w:pPr>
      <w:r>
        <w:rPr>
          <w:rFonts w:ascii="Arial" w:cs="Arial" w:eastAsia="Arial" w:hAnsi="Arial"/>
          <w:b w:val="false"/>
          <w:bCs w:val="false"/>
          <w:i/>
          <w:iCs/>
          <w:color w:val="777777"/>
          <w:sz w:val="18"/>
          <w:szCs w:val="18"/>
        </w:rPr>
        <w:t xml:space="preserve">Resolve this before the first stained set is discovered, not during a peak weekend. It prevents the classic conflict: owner thinks the operator replaces normal wear; operator thinks the owner funds every new sheet.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400"/>
        <w:gridCol w:w="4960"/>
      </w:tblGrid>
      <w:tr>
        <w:tc>
          <w:tcPr>
            <w:tcW w:type="dxa" w:w="44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Item category, brand, size, color, grade</w:t>
            </w:r>
          </w:p>
        </w:tc>
        <w:tc>
          <w:tcPr>
            <w:tcW w:type="dxa" w:w="49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4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Owner of item &amp; replacement responsibility</w:t>
            </w:r>
          </w:p>
        </w:tc>
        <w:tc>
          <w:tcPr>
            <w:tcW w:type="dxa" w:w="49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4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Approved storage location &amp; minimum qty</w:t>
            </w:r>
          </w:p>
        </w:tc>
        <w:tc>
          <w:tcPr>
            <w:tcW w:type="dxa" w:w="49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4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Who may transfer / retire / purchase / substitute</w:t>
            </w:r>
          </w:p>
        </w:tc>
        <w:tc>
          <w:tcPr>
            <w:tcW w:type="dxa" w:w="49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4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Approval required for upgrades / spec changes</w:t>
            </w:r>
          </w:p>
        </w:tc>
        <w:tc>
          <w:tcPr>
            <w:tcW w:type="dxa" w:w="49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4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Billing for replacement / emergency / abnormal loss</w:t>
            </w:r>
          </w:p>
        </w:tc>
        <w:tc>
          <w:tcPr>
            <w:tcW w:type="dxa" w:w="49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ROUTE MANIFEST</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2200"/>
        <w:gridCol w:w="2400"/>
        <w:gridCol w:w="2260"/>
      </w:tblGrid>
      <w:tr>
        <w:trPr>
          <w:tblHeader/>
        </w:trPr>
        <w:tc>
          <w:tcPr>
            <w:tcW w:type="dxa" w:w="250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Stop / property</w:t>
            </w:r>
          </w:p>
        </w:tc>
        <w:tc>
          <w:tcPr>
            <w:tcW w:type="dxa" w:w="220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Deliver</w:t>
            </w:r>
          </w:p>
        </w:tc>
        <w:tc>
          <w:tcPr>
            <w:tcW w:type="dxa" w:w="240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Pick up</w:t>
            </w:r>
          </w:p>
        </w:tc>
        <w:tc>
          <w:tcPr>
            <w:tcW w:type="dxa" w:w="226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Reserve / exception</w:t>
            </w:r>
          </w:p>
        </w:tc>
      </w:tr>
      <w:tr>
        <w:tc>
          <w:tcPr>
            <w:tcW w:type="dxa" w:w="25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
            </w:r>
          </w:p>
        </w:tc>
        <w:tc>
          <w:tcPr>
            <w:tcW w:type="dxa" w:w="22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Property pack</w:t>
            </w:r>
          </w:p>
        </w:tc>
        <w:tc>
          <w:tcPr>
            <w:tcW w:type="dxa" w:w="24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Soiled set</w:t>
            </w:r>
          </w:p>
        </w:tc>
        <w:tc>
          <w:tcPr>
            <w:tcW w:type="dxa" w:w="22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r>
      <w:tr>
        <w:tc>
          <w:tcPr>
            <w:tcW w:type="dxa" w:w="25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
            </w:r>
          </w:p>
        </w:tc>
        <w:tc>
          <w:tcPr>
            <w:tcW w:type="dxa" w:w="22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2 bed packs</w:t>
            </w:r>
          </w:p>
        </w:tc>
        <w:tc>
          <w:tcPr>
            <w:tcW w:type="dxa" w:w="24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Soiled + 1 quarantine</w:t>
            </w:r>
          </w:p>
        </w:tc>
        <w:tc>
          <w:tcPr>
            <w:tcW w:type="dxa" w:w="22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r>
      <w:tr>
        <w:tc>
          <w:tcPr>
            <w:tcW w:type="dxa" w:w="25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
            </w:r>
          </w:p>
        </w:tc>
        <w:tc>
          <w:tcPr>
            <w:tcW w:type="dxa" w:w="22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Property pack</w:t>
            </w:r>
          </w:p>
        </w:tc>
        <w:tc>
          <w:tcPr>
            <w:tcW w:type="dxa" w:w="24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Soiled set</w:t>
            </w:r>
          </w:p>
        </w:tc>
        <w:tc>
          <w:tcPr>
            <w:tcW w:type="dxa" w:w="22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r>
      <w:tr>
        <w:tc>
          <w:tcPr>
            <w:tcW w:type="dxa" w:w="25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
            </w:r>
          </w:p>
        </w:tc>
        <w:tc>
          <w:tcPr>
            <w:tcW w:type="dxa" w:w="22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c>
          <w:tcPr>
            <w:tcW w:type="dxa" w:w="24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c>
          <w:tcPr>
            <w:tcW w:type="dxa" w:w="22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r>
    </w:tbl>
    <w:p>
      <w:pPr>
        <w:spacing w:after="100" w:before="60" w:line="276"/>
        <w:jc w:val="left"/>
      </w:pPr>
      <w:r>
        <w:rPr>
          <w:rFonts w:ascii="Arial" w:cs="Arial" w:eastAsia="Arial" w:hAnsi="Arial"/>
          <w:b w:val="false"/>
          <w:bCs w:val="false"/>
          <w:i/>
          <w:iCs/>
          <w:color w:val="777777"/>
          <w:sz w:val="18"/>
          <w:szCs w:val="18"/>
        </w:rPr>
        <w:t xml:space="preserve">Route closeout: compare planned vs actual movement before reset. A missing bin found at closeout is easier to solve than a missing set found at tomorrow's first property.</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3 — INVENTORY TRANSFER / CHAIN-OF-CUSTODY RECORD</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FF6D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DO NOT SOLVE SHORTAGES WITH INVISIBLE BORROWING</w:t>
            </w:r>
          </w:p>
          <w:p>
            <w:pPr>
              <w:spacing w:after="40" w:before="0" w:line="276"/>
              <w:jc w:val="left"/>
            </w:pPr>
            <w:r>
              <w:rPr>
                <w:rFonts w:ascii="Arial" w:cs="Arial" w:eastAsia="Arial" w:hAnsi="Arial"/>
                <w:b w:val="false"/>
                <w:bCs w:val="false"/>
                <w:i w:val="false"/>
                <w:iCs w:val="false"/>
                <w:color w:val="000000"/>
                <w:sz w:val="19"/>
                <w:szCs w:val="19"/>
              </w:rPr>
              <w:t xml:space="preserve">Moving stock between properties without recording the transfer repairs one location by creating an unknown shortage somewhere else. Every transfer must identify item, quantity, source, destination, reason, authorizer, and expected replacement.</w:t>
            </w:r>
          </w:p>
        </w:tc>
      </w:tr>
    </w:tbl>
    <w:p>
      <w:pPr>
        <w:spacing w:after="6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Date &amp; time</w:t>
            </w:r>
          </w:p>
        </w:tc>
        <w:tc>
          <w:tcPr>
            <w:tcW w:type="dxa" w:w="57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Source → destination</w:t>
            </w:r>
          </w:p>
        </w:tc>
        <w:tc>
          <w:tcPr>
            <w:tcW w:type="dxa" w:w="57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Item &amp; quantity</w:t>
            </w:r>
          </w:p>
        </w:tc>
        <w:tc>
          <w:tcPr>
            <w:tcW w:type="dxa" w:w="57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Condition / status</w:t>
            </w:r>
          </w:p>
        </w:tc>
        <w:tc>
          <w:tcPr>
            <w:tcW w:type="dxa" w:w="57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Reason</w:t>
            </w:r>
          </w:p>
        </w:tc>
        <w:tc>
          <w:tcPr>
            <w:tcW w:type="dxa" w:w="57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Released by / received by</w:t>
            </w:r>
          </w:p>
        </w:tc>
        <w:tc>
          <w:tcPr>
            <w:tcW w:type="dxa" w:w="57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Related job / property</w:t>
            </w:r>
          </w:p>
        </w:tc>
        <w:tc>
          <w:tcPr>
            <w:tcW w:type="dxa" w:w="57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Follow-up required</w:t>
            </w:r>
          </w:p>
        </w:tc>
        <w:tc>
          <w:tcPr>
            <w:tcW w:type="dxa" w:w="57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p>
      <w:pPr>
        <w:sectPr>
          <w:pgSz w:w="12240" w:h="15840" w:orient="portrait"/>
          <w:pgMar w:top="1080" w:right="1440" w:bottom="1080" w:left="1440" w:header="708" w:footer="708" w:gutter="0"/>
          <w:pgNumType/>
          <w:docGrid w:linePitch="360"/>
        </w:sectPr>
      </w:pPr>
    </w:p>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Route Manifest, Chain-of-Custody &amp; Transfer Record — Worked Example</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8  ·  Operations Vault   |   Summit Cleaning Solutions</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val="false"/>
          <w:bCs w:val="false"/>
          <w:i/>
          <w:iCs/>
          <w:color w:val="777777"/>
          <w:sz w:val="21"/>
          <w:szCs w:val="21"/>
        </w:rPr>
        <w:t xml:space="preserve">Worked for Summit Cleaning Solutions — Saturday route manifest run by Carlos Ramirez across Lakeview Retreat, Harbor House, and Pine Ridge Cabin, with one recorded reserve transfer.</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INVENTORY AUTHORITY RECORD (SET OWNERSHIP FIRST)</w:t>
            </w:r>
          </w:p>
        </w:tc>
      </w:tr>
    </w:tbl>
    <w:p>
      <w:pPr>
        <w:spacing w:after="100" w:before="0" w:line="276"/>
        <w:jc w:val="left"/>
      </w:pPr>
      <w:r>
        <w:rPr>
          <w:rFonts w:ascii="Arial" w:cs="Arial" w:eastAsia="Arial" w:hAnsi="Arial"/>
          <w:b w:val="false"/>
          <w:bCs w:val="false"/>
          <w:i/>
          <w:iCs/>
          <w:color w:val="777777"/>
          <w:sz w:val="18"/>
          <w:szCs w:val="18"/>
        </w:rPr>
        <w:t xml:space="preserve">Resolve this before the first stained set is discovered, not during a peak weekend. It prevents the classic conflict: owner thinks the operator replaces normal wear; operator thinks the owner funds every new sheet.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400"/>
        <w:gridCol w:w="4960"/>
      </w:tblGrid>
      <w:tr>
        <w:tc>
          <w:tcPr>
            <w:tcW w:type="dxa" w:w="44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Item category, brand, size, color, grade</w:t>
            </w:r>
          </w:p>
        </w:tc>
        <w:tc>
          <w:tcPr>
            <w:tcW w:type="dxa" w:w="49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Core linen — white, operator standard grade</w:t>
            </w:r>
          </w:p>
        </w:tc>
      </w:tr>
      <w:tr>
        <w:tc>
          <w:tcPr>
            <w:tcW w:type="dxa" w:w="44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Owner of item &amp; replacement responsibility</w:t>
            </w:r>
          </w:p>
        </w:tc>
        <w:tc>
          <w:tcPr>
            <w:tcW w:type="dxa" w:w="49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Operator-owned core; owner-owned throws &amp; accent covers</w:t>
            </w:r>
          </w:p>
        </w:tc>
      </w:tr>
      <w:tr>
        <w:tc>
          <w:tcPr>
            <w:tcW w:type="dxa" w:w="44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Approved storage location &amp; minimum qty</w:t>
            </w:r>
          </w:p>
        </w:tc>
        <w:tc>
          <w:tcPr>
            <w:tcW w:type="dxa" w:w="49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Turnover closet; min 1 property pack</w:t>
            </w:r>
          </w:p>
        </w:tc>
      </w:tr>
      <w:tr>
        <w:tc>
          <w:tcPr>
            <w:tcW w:type="dxa" w:w="44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Who may transfer / retire / purchase / substitute</w:t>
            </w:r>
          </w:p>
        </w:tc>
        <w:tc>
          <w:tcPr>
            <w:tcW w:type="dxa" w:w="49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Emily (purchase/retire); Carlos (route transfer w/ record)</w:t>
            </w:r>
          </w:p>
        </w:tc>
      </w:tr>
      <w:tr>
        <w:tc>
          <w:tcPr>
            <w:tcW w:type="dxa" w:w="44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Approval required for upgrades / spec changes</w:t>
            </w:r>
          </w:p>
        </w:tc>
        <w:tc>
          <w:tcPr>
            <w:tcW w:type="dxa" w:w="49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Owner + Emily sign-off</w:t>
            </w:r>
          </w:p>
        </w:tc>
      </w:tr>
      <w:tr>
        <w:tc>
          <w:tcPr>
            <w:tcW w:type="dxa" w:w="44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Billing for replacement / emergency / abnormal loss</w:t>
            </w:r>
          </w:p>
        </w:tc>
        <w:tc>
          <w:tcPr>
            <w:tcW w:type="dxa" w:w="49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Normal wear → operator reserve; guest damage → charge policy</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ROUTE MANIFEST</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2200"/>
        <w:gridCol w:w="2400"/>
        <w:gridCol w:w="2260"/>
      </w:tblGrid>
      <w:tr>
        <w:trPr>
          <w:tblHeader/>
        </w:trPr>
        <w:tc>
          <w:tcPr>
            <w:tcW w:type="dxa" w:w="250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Stop / property</w:t>
            </w:r>
          </w:p>
        </w:tc>
        <w:tc>
          <w:tcPr>
            <w:tcW w:type="dxa" w:w="220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Deliver</w:t>
            </w:r>
          </w:p>
        </w:tc>
        <w:tc>
          <w:tcPr>
            <w:tcW w:type="dxa" w:w="240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Pick up</w:t>
            </w:r>
          </w:p>
        </w:tc>
        <w:tc>
          <w:tcPr>
            <w:tcW w:type="dxa" w:w="226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Reserve / exception</w:t>
            </w:r>
          </w:p>
        </w:tc>
      </w:tr>
      <w:tr>
        <w:tc>
          <w:tcPr>
            <w:tcW w:type="dxa" w:w="25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1 · Lakeview Retreat</w:t>
            </w:r>
          </w:p>
        </w:tc>
        <w:tc>
          <w:tcPr>
            <w:tcW w:type="dxa" w:w="22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Property pack</w:t>
            </w:r>
          </w:p>
        </w:tc>
        <w:tc>
          <w:tcPr>
            <w:tcW w:type="dxa" w:w="24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Soiled set</w:t>
            </w:r>
          </w:p>
        </w:tc>
        <w:tc>
          <w:tcPr>
            <w:tcW w:type="dxa" w:w="22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Route reserve sealed</w:t>
            </w:r>
          </w:p>
        </w:tc>
      </w:tr>
      <w:tr>
        <w:tc>
          <w:tcPr>
            <w:tcW w:type="dxa" w:w="25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2 · Harbor House</w:t>
            </w:r>
          </w:p>
        </w:tc>
        <w:tc>
          <w:tcPr>
            <w:tcW w:type="dxa" w:w="22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2 bed packs</w:t>
            </w:r>
          </w:p>
        </w:tc>
        <w:tc>
          <w:tcPr>
            <w:tcW w:type="dxa" w:w="24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Soiled + 1 quarantine</w:t>
            </w:r>
          </w:p>
        </w:tc>
        <w:tc>
          <w:tcPr>
            <w:tcW w:type="dxa" w:w="22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w:t>
            </w:r>
          </w:p>
        </w:tc>
      </w:tr>
      <w:tr>
        <w:tc>
          <w:tcPr>
            <w:tcW w:type="dxa" w:w="25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3 · Pine Ridge Cabin</w:t>
            </w:r>
          </w:p>
        </w:tc>
        <w:tc>
          <w:tcPr>
            <w:tcW w:type="dxa" w:w="22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Property pack</w:t>
            </w:r>
          </w:p>
        </w:tc>
        <w:tc>
          <w:tcPr>
            <w:tcW w:type="dxa" w:w="24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Soiled set</w:t>
            </w:r>
          </w:p>
        </w:tc>
        <w:tc>
          <w:tcPr>
            <w:tcW w:type="dxa" w:w="22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Trainee — lead check</w:t>
            </w:r>
          </w:p>
        </w:tc>
      </w:tr>
      <w:tr>
        <w:tc>
          <w:tcPr>
            <w:tcW w:type="dxa" w:w="25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
            </w:r>
          </w:p>
        </w:tc>
        <w:tc>
          <w:tcPr>
            <w:tcW w:type="dxa" w:w="22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c>
          <w:tcPr>
            <w:tcW w:type="dxa" w:w="24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c>
          <w:tcPr>
            <w:tcW w:type="dxa" w:w="22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r>
    </w:tbl>
    <w:p>
      <w:pPr>
        <w:spacing w:after="100" w:before="60" w:line="276"/>
        <w:jc w:val="left"/>
      </w:pPr>
      <w:r>
        <w:rPr>
          <w:rFonts w:ascii="Arial" w:cs="Arial" w:eastAsia="Arial" w:hAnsi="Arial"/>
          <w:b w:val="false"/>
          <w:bCs w:val="false"/>
          <w:i/>
          <w:iCs/>
          <w:color w:val="777777"/>
          <w:sz w:val="18"/>
          <w:szCs w:val="18"/>
        </w:rPr>
        <w:t xml:space="preserve">Route closeout: compare planned vs actual movement before reset. A missing bin found at closeout is easier to solve than a missing set found at tomorrow's first property.</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3 — INVENTORY TRANSFER / CHAIN-OF-CUSTODY RECORD</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FF6D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DO NOT SOLVE SHORTAGES WITH INVISIBLE BORROWING</w:t>
            </w:r>
          </w:p>
          <w:p>
            <w:pPr>
              <w:spacing w:after="40" w:before="0" w:line="276"/>
              <w:jc w:val="left"/>
            </w:pPr>
            <w:r>
              <w:rPr>
                <w:rFonts w:ascii="Arial" w:cs="Arial" w:eastAsia="Arial" w:hAnsi="Arial"/>
                <w:b w:val="false"/>
                <w:bCs w:val="false"/>
                <w:i w:val="false"/>
                <w:iCs w:val="false"/>
                <w:color w:val="000000"/>
                <w:sz w:val="19"/>
                <w:szCs w:val="19"/>
              </w:rPr>
              <w:t xml:space="preserve">Moving stock between properties without recording the transfer repairs one location by creating an unknown shortage somewhere else. Every transfer must identify item, quantity, source, destination, reason, authorizer, and expected replacement.</w:t>
            </w:r>
          </w:p>
        </w:tc>
      </w:tr>
    </w:tbl>
    <w:p>
      <w:pPr>
        <w:spacing w:after="6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Date &amp; time</w:t>
            </w:r>
          </w:p>
        </w:tc>
        <w:tc>
          <w:tcPr>
            <w:tcW w:type="dxa" w:w="57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07/25 · 11:10a</w:t>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Source → destination</w:t>
            </w:r>
          </w:p>
        </w:tc>
        <w:tc>
          <w:tcPr>
            <w:tcW w:type="dxa" w:w="57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Route reserve → Lakeview Retreat</w:t>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Item &amp; quantity</w:t>
            </w:r>
          </w:p>
        </w:tc>
        <w:tc>
          <w:tcPr>
            <w:tcW w:type="dxa" w:w="57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4 bath towels</w:t>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Condition / status</w:t>
            </w:r>
          </w:p>
        </w:tc>
        <w:tc>
          <w:tcPr>
            <w:tcW w:type="dxa" w:w="57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Clean · route reserve</w:t>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Reason</w:t>
            </w:r>
          </w:p>
        </w:tc>
        <w:tc>
          <w:tcPr>
            <w:tcW w:type="dxa" w:w="57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Real shortage confirmed (2 bundles borrowed &amp; unrecorded prior weekend)</w:t>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Released by / received by</w:t>
            </w:r>
          </w:p>
        </w:tc>
        <w:tc>
          <w:tcPr>
            <w:tcW w:type="dxa" w:w="57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Carlos / on-site crew</w:t>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Related job / property</w:t>
            </w:r>
          </w:p>
        </w:tc>
        <w:tc>
          <w:tcPr>
            <w:tcW w:type="dxa" w:w="57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LVR Sat turnover</w:t>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Follow-up required</w:t>
            </w:r>
          </w:p>
        </w:tc>
        <w:tc>
          <w:tcPr>
            <w:tcW w:type="dxa" w:w="57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Replenish route reserve Monday; flag borrowing pattern</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2026-07-31T15:16:47.977Z</dcterms:created>
  <dcterms:modified xsi:type="dcterms:W3CDTF">2026-07-31T15:16:47.977Z</dcterms:modified>
</cp:coreProperties>
</file>

<file path=docProps/custom.xml><?xml version="1.0" encoding="utf-8"?>
<Properties xmlns="http://schemas.openxmlformats.org/officeDocument/2006/custom-properties" xmlns:vt="http://schemas.openxmlformats.org/officeDocument/2006/docPropsVTypes"/>
</file>