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none"/>
          <w:left w:val="none"/>
          <w:bottom w:val="none"/>
          <w:right w:val="none"/>
          <w:insideH w:val="none"/>
          <w:insideV w:val="none"/>
        </w:tblBorders>
      </w:tblPr>
      <w:tblGrid>
        <w:gridCol w:w="9360"/>
      </w:tblGrid>
      <w:tr>
        <w:tc>
          <w:tcPr>
            <w:tcW w:type="dxa" w:w="9360"/>
            <w:shd w:fill="1F3B57" w:val="clear"/>
            <w:tcMar>
              <w:top w:type="dxa" w:w="120"/>
              <w:left w:type="dxa" w:w="180"/>
              <w:bottom w:type="dxa" w:w="120"/>
              <w:right w:type="dxa" w:w="180"/>
            </w:tcMar>
          </w:tcPr>
          <w:p>
            <w:pPr>
              <w:spacing w:after="0"/>
            </w:pPr>
            <w:r>
              <w:rPr>
                <w:rFonts w:ascii="Arial" w:cs="Arial" w:eastAsia="Arial" w:hAnsi="Arial"/>
                <w:b/>
                <w:bCs/>
                <w:i w:val="false"/>
                <w:iCs w:val="false"/>
                <w:color w:val="FFFFFF"/>
                <w:sz w:val="27"/>
                <w:szCs w:val="27"/>
              </w:rPr>
              <w:t xml:space="preserve">Structured Interview Guide &amp; Reference Check</w:t>
            </w:r>
          </w:p>
        </w:tc>
      </w:tr>
      <w:tr>
        <w:tc>
          <w:tcPr>
            <w:tcW w:type="dxa" w:w="9360"/>
            <w:shd w:fill="2E6E8E" w:val="clear"/>
            <w:tcMar>
              <w:top w:type="dxa" w:w="80"/>
              <w:left w:type="dxa" w:w="180"/>
              <w:bottom w:type="dxa" w:w="80"/>
              <w:right w:type="dxa" w:w="180"/>
            </w:tcMar>
          </w:tcPr>
          <w:p>
            <w:pPr>
              <w:spacing w:after="0"/>
            </w:pPr>
            <w:r>
              <w:rPr>
                <w:rFonts w:ascii="Arial" w:cs="Arial" w:eastAsia="Arial" w:hAnsi="Arial"/>
                <w:b w:val="false"/>
                <w:bCs w:val="false"/>
                <w:i w:val="false"/>
                <w:iCs w:val="false"/>
                <w:color w:val="FFFFFF"/>
                <w:sz w:val="18"/>
                <w:szCs w:val="18"/>
              </w:rPr>
              <w:t xml:space="preserve">The STR Cleaning Blueprint™  ·  Chapter 9  ·  Operations Vault</w:t>
            </w:r>
          </w:p>
        </w:tc>
      </w:tr>
    </w:tbl>
    <w:p>
      <w:pPr>
        <w:spacing w:after="80"/>
      </w:pPr>
      <w:r>
        <w:rPr>
          <w:rFonts w:ascii="Arial" w:cs="Arial" w:eastAsia="Arial" w:hAnsi="Arial"/>
          <w:b w:val="false"/>
          <w:bCs w:val="false"/>
          <w:i w:val="false"/>
          <w:iCs w:val="false"/>
          <w:color w:val="000000"/>
          <w:sz w:val="21"/>
          <w:szCs w:val="21"/>
        </w:rPr>
        <w:t xml:space="preserve"/>
      </w:r>
    </w:p>
    <w:p>
      <w:pPr>
        <w:spacing w:after="120" w:before="0" w:line="276"/>
        <w:jc w:val="left"/>
      </w:pPr>
      <w:r>
        <w:rPr>
          <w:rFonts w:ascii="Arial" w:cs="Arial" w:eastAsia="Arial" w:hAnsi="Arial"/>
          <w:b/>
          <w:bCs/>
          <w:i w:val="false"/>
          <w:iCs w:val="false"/>
          <w:color w:val="000000"/>
          <w:sz w:val="21"/>
          <w:szCs w:val="21"/>
        </w:rPr>
        <w:t xml:space="preserve">Purpose.  </w:t>
      </w:r>
      <w:r>
        <w:rPr>
          <w:rFonts w:ascii="Arial" w:cs="Arial" w:eastAsia="Arial" w:hAnsi="Arial"/>
          <w:b w:val="false"/>
          <w:bCs w:val="false"/>
          <w:i w:val="false"/>
          <w:iCs w:val="false"/>
          <w:color w:val="000000"/>
          <w:sz w:val="21"/>
          <w:szCs w:val="21"/>
        </w:rPr>
        <w:t xml:space="preserve">Selection improves when the company compares candidates against the same evidence rather than instinct. Structure reduces the influence of urgency, similarity, and charisma. Ask every candidate the same core questions, score against the same anchors, and record a lawful, job-related reason for every decision.</w:t>
      </w:r>
    </w:p>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4"/>
              <w:left w:val="single" w:color="CCCCCC" w:sz="4"/>
              <w:bottom w:val="single" w:color="CCCCCC" w:sz="4"/>
              <w:right w:val="single" w:color="CCCCCC" w:sz="4"/>
            </w:tcBorders>
            <w:shd w:fill="FBE4E4" w:val="clear"/>
            <w:tcMar>
              <w:top w:type="dxa" w:w="100"/>
              <w:left w:type="dxa" w:w="160"/>
              <w:bottom w:type="dxa" w:w="100"/>
              <w:right w:type="dxa" w:w="160"/>
            </w:tcMar>
          </w:tcPr>
          <w:p>
            <w:pPr>
              <w:spacing w:after="60" w:before="0" w:line="276"/>
              <w:jc w:val="left"/>
            </w:pPr>
            <w:r>
              <w:rPr>
                <w:rFonts w:ascii="Arial" w:cs="Arial" w:eastAsia="Arial" w:hAnsi="Arial"/>
                <w:b/>
                <w:bCs/>
                <w:i w:val="false"/>
                <w:iCs w:val="false"/>
                <w:color w:val="9C2B2B"/>
                <w:sz w:val="18"/>
                <w:szCs w:val="18"/>
              </w:rPr>
              <w:t xml:space="preserve">⚖  LEGAL CHECKPOINT</w:t>
            </w:r>
          </w:p>
          <w:p>
            <w:pPr>
              <w:spacing w:after="40" w:before="0" w:line="276"/>
              <w:jc w:val="left"/>
            </w:pPr>
            <w:r>
              <w:rPr>
                <w:rFonts w:ascii="Arial" w:cs="Arial" w:eastAsia="Arial" w:hAnsi="Arial"/>
                <w:b w:val="false"/>
                <w:bCs w:val="false"/>
                <w:i w:val="false"/>
                <w:iCs w:val="false"/>
                <w:color w:val="000000"/>
                <w:sz w:val="19"/>
                <w:szCs w:val="19"/>
              </w:rPr>
              <w:t xml:space="preserve">Ask only lawful, job-related questions. Do not ask about age, race, religion, national origin, disability, family/pregnancy, or other protected characteristics. Wage-and-hour, background-check, and ban-the-box rules vary by jurisdiction and change — obtain qualified local employment guidance before finalizing your process.</w:t>
            </w:r>
          </w:p>
        </w:tc>
      </w:tr>
    </w:tbl>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none"/>
          <w:left w:val="none"/>
          <w:bottom w:val="none"/>
          <w:right w:val="none"/>
          <w:insideH w:val="none"/>
          <w:insideV w:val="none"/>
        </w:tblBorders>
      </w:tblPr>
      <w:tblGrid>
        <w:gridCol w:w="9360"/>
      </w:tblGrid>
      <w:tr>
        <w:tc>
          <w:tcPr>
            <w:tcW w:type="dxa" w:w="9360"/>
            <w:shd w:fill="2E6E8E" w:val="clear"/>
            <w:tcMar>
              <w:top w:type="dxa" w:w="60"/>
              <w:left w:type="dxa" w:w="150"/>
              <w:bottom w:type="dxa" w:w="60"/>
              <w:right w:type="dxa" w:w="150"/>
            </w:tcMar>
          </w:tcPr>
          <w:p>
            <w:pPr>
              <w:spacing w:after="0"/>
            </w:pPr>
            <w:r>
              <w:rPr>
                <w:rFonts w:ascii="Arial" w:cs="Arial" w:eastAsia="Arial" w:hAnsi="Arial"/>
                <w:b/>
                <w:bCs/>
                <w:i w:val="false"/>
                <w:iCs w:val="false"/>
                <w:color w:val="FFFFFF"/>
                <w:sz w:val="20"/>
                <w:szCs w:val="20"/>
              </w:rPr>
              <w:t xml:space="preserve">PART 1 — SELECTION SEQUENCE</w:t>
            </w:r>
          </w:p>
        </w:tc>
      </w:tr>
    </w:tbl>
    <w:p>
      <w:pPr>
        <w:spacing w:after="70" w:before="0" w:line="276"/>
        <w:jc w:val="left"/>
      </w:pPr>
      <w:r>
        <w:rPr>
          <w:rFonts w:ascii="Arial" w:cs="Arial" w:eastAsia="Arial" w:hAnsi="Arial"/>
          <w:b/>
          <w:bCs/>
          <w:i w:val="false"/>
          <w:iCs w:val="false"/>
          <w:color w:val="000000"/>
          <w:sz w:val="19"/>
          <w:szCs w:val="19"/>
        </w:rPr>
        <w:t xml:space="preserve">1.  </w:t>
      </w:r>
      <w:r>
        <w:rPr>
          <w:rFonts w:ascii="Arial" w:cs="Arial" w:eastAsia="Arial" w:hAnsi="Arial"/>
          <w:b w:val="false"/>
          <w:bCs w:val="false"/>
          <w:i w:val="false"/>
          <w:iCs w:val="false"/>
          <w:color w:val="000000"/>
          <w:sz w:val="19"/>
          <w:szCs w:val="19"/>
        </w:rPr>
        <w:t xml:space="preserve">Application screen against lawful minimum requirements and availability.</w:t>
      </w:r>
    </w:p>
    <w:p>
      <w:pPr>
        <w:spacing w:after="70" w:before="0" w:line="276"/>
        <w:jc w:val="left"/>
      </w:pPr>
      <w:r>
        <w:rPr>
          <w:rFonts w:ascii="Arial" w:cs="Arial" w:eastAsia="Arial" w:hAnsi="Arial"/>
          <w:b/>
          <w:bCs/>
          <w:i w:val="false"/>
          <w:iCs w:val="false"/>
          <w:color w:val="000000"/>
          <w:sz w:val="19"/>
          <w:szCs w:val="19"/>
        </w:rPr>
        <w:t xml:space="preserve">2.  </w:t>
      </w:r>
      <w:r>
        <w:rPr>
          <w:rFonts w:ascii="Arial" w:cs="Arial" w:eastAsia="Arial" w:hAnsi="Arial"/>
          <w:b w:val="false"/>
          <w:bCs w:val="false"/>
          <w:i w:val="false"/>
          <w:iCs w:val="false"/>
          <w:color w:val="000000"/>
          <w:sz w:val="19"/>
          <w:szCs w:val="19"/>
        </w:rPr>
        <w:t xml:space="preserve">Short phone/video screen to confirm logistics and explain the work.</w:t>
      </w:r>
    </w:p>
    <w:p>
      <w:pPr>
        <w:spacing w:after="70" w:before="0" w:line="276"/>
        <w:jc w:val="left"/>
      </w:pPr>
      <w:r>
        <w:rPr>
          <w:rFonts w:ascii="Arial" w:cs="Arial" w:eastAsia="Arial" w:hAnsi="Arial"/>
          <w:b/>
          <w:bCs/>
          <w:i w:val="false"/>
          <w:iCs w:val="false"/>
          <w:color w:val="000000"/>
          <w:sz w:val="19"/>
          <w:szCs w:val="19"/>
        </w:rPr>
        <w:t xml:space="preserve">3.  </w:t>
      </w:r>
      <w:r>
        <w:rPr>
          <w:rFonts w:ascii="Arial" w:cs="Arial" w:eastAsia="Arial" w:hAnsi="Arial"/>
          <w:b w:val="false"/>
          <w:bCs w:val="false"/>
          <w:i w:val="false"/>
          <w:iCs w:val="false"/>
          <w:color w:val="000000"/>
          <w:sz w:val="19"/>
          <w:szCs w:val="19"/>
        </w:rPr>
        <w:t xml:space="preserve">Structured interview using the same core questions and scoring anchors.</w:t>
      </w:r>
    </w:p>
    <w:p>
      <w:pPr>
        <w:spacing w:after="70" w:before="0" w:line="276"/>
        <w:jc w:val="left"/>
      </w:pPr>
      <w:r>
        <w:rPr>
          <w:rFonts w:ascii="Arial" w:cs="Arial" w:eastAsia="Arial" w:hAnsi="Arial"/>
          <w:b/>
          <w:bCs/>
          <w:i w:val="false"/>
          <w:iCs w:val="false"/>
          <w:color w:val="000000"/>
          <w:sz w:val="19"/>
          <w:szCs w:val="19"/>
        </w:rPr>
        <w:t xml:space="preserve">4.  </w:t>
      </w:r>
      <w:r>
        <w:rPr>
          <w:rFonts w:ascii="Arial" w:cs="Arial" w:eastAsia="Arial" w:hAnsi="Arial"/>
          <w:b w:val="false"/>
          <w:bCs w:val="false"/>
          <w:i w:val="false"/>
          <w:iCs w:val="false"/>
          <w:color w:val="000000"/>
          <w:sz w:val="19"/>
          <w:szCs w:val="19"/>
        </w:rPr>
        <w:t xml:space="preserve">Realistic job preview, including the difficult parts of the role.</w:t>
      </w:r>
    </w:p>
    <w:p>
      <w:pPr>
        <w:spacing w:after="70" w:before="0" w:line="276"/>
        <w:jc w:val="left"/>
      </w:pPr>
      <w:r>
        <w:rPr>
          <w:rFonts w:ascii="Arial" w:cs="Arial" w:eastAsia="Arial" w:hAnsi="Arial"/>
          <w:b/>
          <w:bCs/>
          <w:i w:val="false"/>
          <w:iCs w:val="false"/>
          <w:color w:val="000000"/>
          <w:sz w:val="19"/>
          <w:szCs w:val="19"/>
        </w:rPr>
        <w:t xml:space="preserve">5.  </w:t>
      </w:r>
      <w:r>
        <w:rPr>
          <w:rFonts w:ascii="Arial" w:cs="Arial" w:eastAsia="Arial" w:hAnsi="Arial"/>
          <w:b w:val="false"/>
          <w:bCs w:val="false"/>
          <w:i w:val="false"/>
          <w:iCs w:val="false"/>
          <w:color w:val="000000"/>
          <w:sz w:val="19"/>
          <w:szCs w:val="19"/>
        </w:rPr>
        <w:t xml:space="preserve">Paid work sample or skills assessment where lawful and appropriately designed.</w:t>
      </w:r>
    </w:p>
    <w:p>
      <w:pPr>
        <w:spacing w:after="70" w:before="0" w:line="276"/>
        <w:jc w:val="left"/>
      </w:pPr>
      <w:r>
        <w:rPr>
          <w:rFonts w:ascii="Arial" w:cs="Arial" w:eastAsia="Arial" w:hAnsi="Arial"/>
          <w:b/>
          <w:bCs/>
          <w:i w:val="false"/>
          <w:iCs w:val="false"/>
          <w:color w:val="000000"/>
          <w:sz w:val="19"/>
          <w:szCs w:val="19"/>
        </w:rPr>
        <w:t xml:space="preserve">6.  </w:t>
      </w:r>
      <w:r>
        <w:rPr>
          <w:rFonts w:ascii="Arial" w:cs="Arial" w:eastAsia="Arial" w:hAnsi="Arial"/>
          <w:b w:val="false"/>
          <w:bCs w:val="false"/>
          <w:i w:val="false"/>
          <w:iCs w:val="false"/>
          <w:color w:val="000000"/>
          <w:sz w:val="19"/>
          <w:szCs w:val="19"/>
        </w:rPr>
        <w:t xml:space="preserve">References and background checks where lawful, relevant, and disclosed.</w:t>
      </w:r>
    </w:p>
    <w:p>
      <w:pPr>
        <w:spacing w:after="70" w:before="0" w:line="276"/>
        <w:jc w:val="left"/>
      </w:pPr>
      <w:r>
        <w:rPr>
          <w:rFonts w:ascii="Arial" w:cs="Arial" w:eastAsia="Arial" w:hAnsi="Arial"/>
          <w:b/>
          <w:bCs/>
          <w:i w:val="false"/>
          <w:iCs w:val="false"/>
          <w:color w:val="000000"/>
          <w:sz w:val="19"/>
          <w:szCs w:val="19"/>
        </w:rPr>
        <w:t xml:space="preserve">7.  </w:t>
      </w:r>
      <w:r>
        <w:rPr>
          <w:rFonts w:ascii="Arial" w:cs="Arial" w:eastAsia="Arial" w:hAnsi="Arial"/>
          <w:b w:val="false"/>
          <w:bCs w:val="false"/>
          <w:i w:val="false"/>
          <w:iCs w:val="false"/>
          <w:color w:val="000000"/>
          <w:sz w:val="19"/>
          <w:szCs w:val="19"/>
        </w:rPr>
        <w:t xml:space="preserve">Conditional offer with clear compensation, schedule, contingencies, and start plan.</w:t>
      </w:r>
    </w:p>
    <w:p>
      <w:pPr>
        <w:spacing w:after="70" w:before="0" w:line="276"/>
        <w:jc w:val="left"/>
      </w:pPr>
      <w:r>
        <w:rPr>
          <w:rFonts w:ascii="Arial" w:cs="Arial" w:eastAsia="Arial" w:hAnsi="Arial"/>
          <w:b/>
          <w:bCs/>
          <w:i w:val="false"/>
          <w:iCs w:val="false"/>
          <w:color w:val="000000"/>
          <w:sz w:val="19"/>
          <w:szCs w:val="19"/>
        </w:rPr>
        <w:t xml:space="preserve">8.  </w:t>
      </w:r>
      <w:r>
        <w:rPr>
          <w:rFonts w:ascii="Arial" w:cs="Arial" w:eastAsia="Arial" w:hAnsi="Arial"/>
          <w:b w:val="false"/>
          <w:bCs w:val="false"/>
          <w:i w:val="false"/>
          <w:iCs w:val="false"/>
          <w:color w:val="000000"/>
          <w:sz w:val="19"/>
          <w:szCs w:val="19"/>
        </w:rPr>
        <w:t xml:space="preserve">Documented onboarding handoff so selection information is not lost.</w:t>
      </w:r>
    </w:p>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none"/>
          <w:left w:val="none"/>
          <w:bottom w:val="none"/>
          <w:right w:val="none"/>
          <w:insideH w:val="none"/>
          <w:insideV w:val="none"/>
        </w:tblBorders>
      </w:tblPr>
      <w:tblGrid>
        <w:gridCol w:w="9360"/>
      </w:tblGrid>
      <w:tr>
        <w:tc>
          <w:tcPr>
            <w:tcW w:type="dxa" w:w="9360"/>
            <w:shd w:fill="2E6E8E" w:val="clear"/>
            <w:tcMar>
              <w:top w:type="dxa" w:w="60"/>
              <w:left w:type="dxa" w:w="150"/>
              <w:bottom w:type="dxa" w:w="60"/>
              <w:right w:type="dxa" w:w="150"/>
            </w:tcMar>
          </w:tcPr>
          <w:p>
            <w:pPr>
              <w:spacing w:after="0"/>
            </w:pPr>
            <w:r>
              <w:rPr>
                <w:rFonts w:ascii="Arial" w:cs="Arial" w:eastAsia="Arial" w:hAnsi="Arial"/>
                <w:b/>
                <w:bCs/>
                <w:i w:val="false"/>
                <w:iCs w:val="false"/>
                <w:color w:val="FFFFFF"/>
                <w:sz w:val="20"/>
                <w:szCs w:val="20"/>
              </w:rPr>
              <w:t xml:space="preserve">PART 2 — STRUCTURED INTERVIEW QUESTIONS</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400"/>
        <w:gridCol w:w="2400"/>
        <w:gridCol w:w="3560"/>
      </w:tblGrid>
      <w:tr>
        <w:trPr>
          <w:tblHeader/>
        </w:trPr>
        <w:tc>
          <w:tcPr>
            <w:tcW w:type="dxa" w:w="3400"/>
            <w:tcBorders>
              <w:top w:val="single" w:color="BBBBBB" w:sz="4"/>
              <w:left w:val="single" w:color="BBBBBB" w:sz="4"/>
              <w:bottom w:val="single" w:color="BBBBBB" w:sz="4"/>
              <w:right w:val="single" w:color="BBBBBB" w:sz="4"/>
            </w:tcBorders>
            <w:shd w:fill="1F3B57" w:val="clear"/>
            <w:tcMar>
              <w:top w:type="dxa" w:w="55"/>
              <w:left w:type="dxa" w:w="120"/>
              <w:bottom w:type="dxa" w:w="55"/>
              <w:right w:type="dxa" w:w="120"/>
            </w:tcMar>
          </w:tcPr>
          <w:p>
            <w:pPr>
              <w:spacing w:after="0" w:before="0" w:line="276"/>
              <w:jc w:val="left"/>
            </w:pPr>
            <w:r>
              <w:rPr>
                <w:rFonts w:ascii="Arial" w:cs="Arial" w:eastAsia="Arial" w:hAnsi="Arial"/>
                <w:b/>
                <w:bCs/>
                <w:i w:val="false"/>
                <w:iCs w:val="false"/>
                <w:color w:val="FFFFFF"/>
                <w:sz w:val="16"/>
                <w:szCs w:val="16"/>
              </w:rPr>
              <w:t xml:space="preserve">Question</w:t>
            </w:r>
          </w:p>
        </w:tc>
        <w:tc>
          <w:tcPr>
            <w:tcW w:type="dxa" w:w="2400"/>
            <w:tcBorders>
              <w:top w:val="single" w:color="BBBBBB" w:sz="4"/>
              <w:left w:val="single" w:color="BBBBBB" w:sz="4"/>
              <w:bottom w:val="single" w:color="BBBBBB" w:sz="4"/>
              <w:right w:val="single" w:color="BBBBBB" w:sz="4"/>
            </w:tcBorders>
            <w:shd w:fill="1F3B57" w:val="clear"/>
            <w:tcMar>
              <w:top w:type="dxa" w:w="55"/>
              <w:left w:type="dxa" w:w="120"/>
              <w:bottom w:type="dxa" w:w="55"/>
              <w:right w:type="dxa" w:w="120"/>
            </w:tcMar>
          </w:tcPr>
          <w:p>
            <w:pPr>
              <w:spacing w:after="0" w:before="0" w:line="276"/>
              <w:jc w:val="left"/>
            </w:pPr>
            <w:r>
              <w:rPr>
                <w:rFonts w:ascii="Arial" w:cs="Arial" w:eastAsia="Arial" w:hAnsi="Arial"/>
                <w:b/>
                <w:bCs/>
                <w:i w:val="false"/>
                <w:iCs w:val="false"/>
                <w:color w:val="FFFFFF"/>
                <w:sz w:val="16"/>
                <w:szCs w:val="16"/>
              </w:rPr>
              <w:t xml:space="preserve">Capability tested</w:t>
            </w:r>
          </w:p>
        </w:tc>
        <w:tc>
          <w:tcPr>
            <w:tcW w:type="dxa" w:w="3560"/>
            <w:tcBorders>
              <w:top w:val="single" w:color="BBBBBB" w:sz="4"/>
              <w:left w:val="single" w:color="BBBBBB" w:sz="4"/>
              <w:bottom w:val="single" w:color="BBBBBB" w:sz="4"/>
              <w:right w:val="single" w:color="BBBBBB" w:sz="4"/>
            </w:tcBorders>
            <w:shd w:fill="1F3B57" w:val="clear"/>
            <w:tcMar>
              <w:top w:type="dxa" w:w="55"/>
              <w:left w:type="dxa" w:w="120"/>
              <w:bottom w:type="dxa" w:w="55"/>
              <w:right w:type="dxa" w:w="120"/>
            </w:tcMar>
          </w:tcPr>
          <w:p>
            <w:pPr>
              <w:spacing w:after="0" w:before="0" w:line="276"/>
              <w:jc w:val="left"/>
            </w:pPr>
            <w:r>
              <w:rPr>
                <w:rFonts w:ascii="Arial" w:cs="Arial" w:eastAsia="Arial" w:hAnsi="Arial"/>
                <w:b/>
                <w:bCs/>
                <w:i w:val="false"/>
                <w:iCs w:val="false"/>
                <w:color w:val="FFFFFF"/>
                <w:sz w:val="16"/>
                <w:szCs w:val="16"/>
              </w:rPr>
              <w:t xml:space="preserve">Strong evidence</w:t>
            </w:r>
          </w:p>
        </w:tc>
      </w:tr>
      <w:tr>
        <w:tc>
          <w:tcPr>
            <w:tcW w:type="dxa" w:w="34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Tell me about a problem nobody else had noticed.</w:t>
            </w:r>
          </w:p>
        </w:tc>
        <w:tc>
          <w:tcPr>
            <w:tcW w:type="dxa" w:w="24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Attention &amp; initiative</w:t>
            </w:r>
          </w:p>
        </w:tc>
        <w:tc>
          <w:tcPr>
            <w:tcW w:type="dxa" w:w="35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Specific observation, action, communication, result.</w:t>
            </w:r>
          </w:p>
        </w:tc>
      </w:tr>
      <w:tr>
        <w:tc>
          <w:tcPr>
            <w:tcW w:type="dxa" w:w="34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Running behind with check-in approaching — what do you do?</w:t>
            </w:r>
          </w:p>
        </w:tc>
        <w:tc>
          <w:tcPr>
            <w:tcW w:type="dxa" w:w="24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Judgment &amp; communication</w:t>
            </w:r>
          </w:p>
        </w:tc>
        <w:tc>
          <w:tcPr>
            <w:tcW w:type="dxa" w:w="35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Early escalation, factual status, prioritization, no hidden shortcuts.</w:t>
            </w:r>
          </w:p>
        </w:tc>
      </w:tr>
      <w:tr>
        <w:tc>
          <w:tcPr>
            <w:tcW w:type="dxa" w:w="34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A checklist conflicts with what a coworker told you?</w:t>
            </w:r>
          </w:p>
        </w:tc>
        <w:tc>
          <w:tcPr>
            <w:tcW w:type="dxa" w:w="24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Standards discipline</w:t>
            </w:r>
          </w:p>
        </w:tc>
        <w:tc>
          <w:tcPr>
            <w:tcW w:type="dxa" w:w="35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Pause, verify source of truth, document the clarification.</w:t>
            </w:r>
          </w:p>
        </w:tc>
      </w:tr>
      <w:tr>
        <w:tc>
          <w:tcPr>
            <w:tcW w:type="dxa" w:w="34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You find cash, medication, or a personal item?</w:t>
            </w:r>
          </w:p>
        </w:tc>
        <w:tc>
          <w:tcPr>
            <w:tcW w:type="dxa" w:w="24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Integrity &amp; chain of custody</w:t>
            </w:r>
          </w:p>
        </w:tc>
        <w:tc>
          <w:tcPr>
            <w:tcW w:type="dxa" w:w="35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No pocketing/casual relocation/needless photos; follow lost-item protocol.</w:t>
            </w:r>
          </w:p>
        </w:tc>
      </w:tr>
      <w:tr>
        <w:tc>
          <w:tcPr>
            <w:tcW w:type="dxa" w:w="34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Describe feedback that changed how you worked.</w:t>
            </w:r>
          </w:p>
        </w:tc>
        <w:tc>
          <w:tcPr>
            <w:tcW w:type="dxa" w:w="24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Coachability</w:t>
            </w:r>
          </w:p>
        </w:tc>
        <w:tc>
          <w:tcPr>
            <w:tcW w:type="dxa" w:w="35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Owns the lesson, explains application, avoids blaming the coach.</w:t>
            </w:r>
          </w:p>
        </w:tc>
      </w:tr>
      <w:tr>
        <w:tc>
          <w:tcPr>
            <w:tcW w:type="dxa" w:w="34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Unsafe chemical, broken glass, or aggressive animal?</w:t>
            </w:r>
          </w:p>
        </w:tc>
        <w:tc>
          <w:tcPr>
            <w:tcW w:type="dxa" w:w="24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Safety judgment</w:t>
            </w:r>
          </w:p>
        </w:tc>
        <w:tc>
          <w:tcPr>
            <w:tcW w:type="dxa" w:w="35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Stops work, protects people, isolates hazard, escalates.</w:t>
            </w:r>
          </w:p>
        </w:tc>
      </w:tr>
    </w:tbl>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none"/>
          <w:left w:val="none"/>
          <w:bottom w:val="none"/>
          <w:right w:val="none"/>
          <w:insideH w:val="none"/>
          <w:insideV w:val="none"/>
        </w:tblBorders>
      </w:tblPr>
      <w:tblGrid>
        <w:gridCol w:w="9360"/>
      </w:tblGrid>
      <w:tr>
        <w:tc>
          <w:tcPr>
            <w:tcW w:type="dxa" w:w="9360"/>
            <w:shd w:fill="2E6E8E" w:val="clear"/>
            <w:tcMar>
              <w:top w:type="dxa" w:w="60"/>
              <w:left w:type="dxa" w:w="150"/>
              <w:bottom w:type="dxa" w:w="60"/>
              <w:right w:type="dxa" w:w="150"/>
            </w:tcMar>
          </w:tcPr>
          <w:p>
            <w:pPr>
              <w:spacing w:after="0"/>
            </w:pPr>
            <w:r>
              <w:rPr>
                <w:rFonts w:ascii="Arial" w:cs="Arial" w:eastAsia="Arial" w:hAnsi="Arial"/>
                <w:b/>
                <w:bCs/>
                <w:i w:val="false"/>
                <w:iCs w:val="false"/>
                <w:color w:val="FFFFFF"/>
                <w:sz w:val="20"/>
                <w:szCs w:val="20"/>
              </w:rPr>
              <w:t xml:space="preserve">PART 3 — REFERENCE CHECK FORM (LAWFUL, JOB-RELATED)</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900"/>
        <w:gridCol w:w="5460"/>
      </w:tblGrid>
      <w:tr>
        <w:tc>
          <w:tcPr>
            <w:tcW w:type="dxa" w:w="39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Reference name / relationship / dates</w:t>
            </w:r>
          </w:p>
        </w:tc>
        <w:tc>
          <w:tcPr>
            <w:tcW w:type="dxa" w:w="5460"/>
            <w:tcBorders>
              <w:top w:val="single" w:color="BBBBBB" w:sz="4"/>
              <w:left w:val="single" w:color="BBBBBB" w:sz="4"/>
              <w:bottom w:val="single" w:color="BBBBBB" w:sz="4"/>
              <w:right w:val="single" w:color="BBBBBB" w:sz="4"/>
            </w:tcBorders>
            <w:shd w:fill="FFF6D5"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
            </w:r>
          </w:p>
        </w:tc>
      </w:tr>
      <w:tr>
        <w:tc>
          <w:tcPr>
            <w:tcW w:type="dxa" w:w="39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Reliability &amp; attendance (job-related)</w:t>
            </w:r>
          </w:p>
        </w:tc>
        <w:tc>
          <w:tcPr>
            <w:tcW w:type="dxa" w:w="5460"/>
            <w:tcBorders>
              <w:top w:val="single" w:color="BBBBBB" w:sz="4"/>
              <w:left w:val="single" w:color="BBBBBB" w:sz="4"/>
              <w:bottom w:val="single" w:color="BBBBBB" w:sz="4"/>
              <w:right w:val="single" w:color="BBBBBB" w:sz="4"/>
            </w:tcBorders>
            <w:shd w:fill="FFF6D5"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
            </w:r>
          </w:p>
        </w:tc>
      </w:tr>
      <w:tr>
        <w:tc>
          <w:tcPr>
            <w:tcW w:type="dxa" w:w="39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Quality &amp; attention to detail</w:t>
            </w:r>
          </w:p>
        </w:tc>
        <w:tc>
          <w:tcPr>
            <w:tcW w:type="dxa" w:w="5460"/>
            <w:tcBorders>
              <w:top w:val="single" w:color="BBBBBB" w:sz="4"/>
              <w:left w:val="single" w:color="BBBBBB" w:sz="4"/>
              <w:bottom w:val="single" w:color="BBBBBB" w:sz="4"/>
              <w:right w:val="single" w:color="BBBBBB" w:sz="4"/>
            </w:tcBorders>
            <w:shd w:fill="FFF6D5"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
            </w:r>
          </w:p>
        </w:tc>
      </w:tr>
      <w:tr>
        <w:tc>
          <w:tcPr>
            <w:tcW w:type="dxa" w:w="39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Coachability &amp; conduct</w:t>
            </w:r>
          </w:p>
        </w:tc>
        <w:tc>
          <w:tcPr>
            <w:tcW w:type="dxa" w:w="5460"/>
            <w:tcBorders>
              <w:top w:val="single" w:color="BBBBBB" w:sz="4"/>
              <w:left w:val="single" w:color="BBBBBB" w:sz="4"/>
              <w:bottom w:val="single" w:color="BBBBBB" w:sz="4"/>
              <w:right w:val="single" w:color="BBBBBB" w:sz="4"/>
            </w:tcBorders>
            <w:shd w:fill="FFF6D5"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
            </w:r>
          </w:p>
        </w:tc>
      </w:tr>
      <w:tr>
        <w:tc>
          <w:tcPr>
            <w:tcW w:type="dxa" w:w="39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Eligible for rehire (if disclosed)</w:t>
            </w:r>
          </w:p>
        </w:tc>
        <w:tc>
          <w:tcPr>
            <w:tcW w:type="dxa" w:w="5460"/>
            <w:tcBorders>
              <w:top w:val="single" w:color="BBBBBB" w:sz="4"/>
              <w:left w:val="single" w:color="BBBBBB" w:sz="4"/>
              <w:bottom w:val="single" w:color="BBBBBB" w:sz="4"/>
              <w:right w:val="single" w:color="BBBBBB" w:sz="4"/>
            </w:tcBorders>
            <w:shd w:fill="FFF6D5"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
            </w:r>
          </w:p>
        </w:tc>
      </w:tr>
      <w:tr>
        <w:tc>
          <w:tcPr>
            <w:tcW w:type="dxa" w:w="39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Interviewer &amp; date</w:t>
            </w:r>
          </w:p>
        </w:tc>
        <w:tc>
          <w:tcPr>
            <w:tcW w:type="dxa" w:w="5460"/>
            <w:tcBorders>
              <w:top w:val="single" w:color="BBBBBB" w:sz="4"/>
              <w:left w:val="single" w:color="BBBBBB" w:sz="4"/>
              <w:bottom w:val="single" w:color="BBBBBB" w:sz="4"/>
              <w:right w:val="single" w:color="BBBBBB" w:sz="4"/>
            </w:tcBorders>
            <w:shd w:fill="FFF6D5"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
            </w:r>
          </w:p>
        </w:tc>
      </w:tr>
    </w:tbl>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4"/>
              <w:left w:val="single" w:color="CCCCCC" w:sz="4"/>
              <w:bottom w:val="single" w:color="CCCCCC" w:sz="4"/>
              <w:right w:val="single" w:color="CCCCCC" w:sz="4"/>
            </w:tcBorders>
            <w:shd w:fill="EAF1F5" w:val="clear"/>
            <w:tcMar>
              <w:top w:type="dxa" w:w="100"/>
              <w:left w:type="dxa" w:w="160"/>
              <w:bottom w:type="dxa" w:w="100"/>
              <w:right w:type="dxa" w:w="160"/>
            </w:tcMar>
          </w:tcPr>
          <w:p>
            <w:pPr>
              <w:spacing w:after="60" w:before="0" w:line="276"/>
              <w:jc w:val="left"/>
            </w:pPr>
            <w:r>
              <w:rPr>
                <w:rFonts w:ascii="Arial" w:cs="Arial" w:eastAsia="Arial" w:hAnsi="Arial"/>
                <w:b/>
                <w:bCs/>
                <w:i w:val="false"/>
                <w:iCs w:val="false"/>
                <w:color w:val="1F3B57"/>
                <w:sz w:val="18"/>
                <w:szCs w:val="18"/>
              </w:rPr>
              <w:t xml:space="preserve">PROFESSIONAL STANDARD</w:t>
            </w:r>
          </w:p>
          <w:p>
            <w:pPr>
              <w:spacing w:after="40" w:before="0" w:line="276"/>
              <w:jc w:val="left"/>
            </w:pPr>
            <w:r>
              <w:rPr>
                <w:rFonts w:ascii="Arial" w:cs="Arial" w:eastAsia="Arial" w:hAnsi="Arial"/>
                <w:b w:val="false"/>
                <w:bCs w:val="false"/>
                <w:i w:val="false"/>
                <w:iCs w:val="false"/>
                <w:color w:val="000000"/>
                <w:sz w:val="19"/>
                <w:szCs w:val="19"/>
              </w:rPr>
              <w:t xml:space="preserve">The scorecard does not replace judgment — it makes judgment visible. Decline only for a lawful, job-related reason that connects to the role, never a vague feeling the person was not "a fit."</w:t>
            </w:r>
          </w:p>
        </w:tc>
      </w:tr>
    </w:tbl>
    <w:p>
      <w:pPr>
        <w:spacing w:after="120" w:before="120" w:line="276"/>
        <w:jc w:val="left"/>
      </w:pPr>
      <w:r>
        <w:rPr>
          <w:rFonts w:ascii="Arial" w:cs="Arial" w:eastAsia="Arial" w:hAnsi="Arial"/>
          <w:b w:val="false"/>
          <w:bCs w:val="false"/>
          <w:i/>
          <w:iCs/>
          <w:color w:val="777777"/>
          <w:sz w:val="16"/>
          <w:szCs w:val="16"/>
        </w:rPr>
        <w:t xml:space="preserve">A planning instrument, not a guarantee of business success. Vendor-neutral — usable with any tools, team structure, or software.  ·  The STR Cleaning Blueprint™</w:t>
      </w:r>
    </w:p>
    <w:p>
      <w:pPr>
        <w:sectPr>
          <w:pgSz w:w="12240" w:h="15840" w:orient="portrait"/>
          <w:pgMar w:top="1080" w:right="1440" w:bottom="1080" w:left="1440" w:header="708" w:footer="708" w:gutter="0"/>
          <w:pgNumType/>
          <w:docGrid w:linePitch="360"/>
        </w:sectPr>
      </w:pPr>
    </w:p>
    <w:tbl>
      <w:tblPr>
        <w:tblW w:type="dxa" w:w="9360"/>
        <w:tblBorders>
          <w:top w:val="none"/>
          <w:left w:val="none"/>
          <w:bottom w:val="none"/>
          <w:right w:val="none"/>
          <w:insideH w:val="none"/>
          <w:insideV w:val="none"/>
        </w:tblBorders>
      </w:tblPr>
      <w:tblGrid>
        <w:gridCol w:w="9360"/>
      </w:tblGrid>
      <w:tr>
        <w:tc>
          <w:tcPr>
            <w:tcW w:type="dxa" w:w="9360"/>
            <w:shd w:fill="1F3B57" w:val="clear"/>
            <w:tcMar>
              <w:top w:type="dxa" w:w="120"/>
              <w:left w:type="dxa" w:w="180"/>
              <w:bottom w:type="dxa" w:w="120"/>
              <w:right w:type="dxa" w:w="180"/>
            </w:tcMar>
          </w:tcPr>
          <w:p>
            <w:pPr>
              <w:spacing w:after="0"/>
            </w:pPr>
            <w:r>
              <w:rPr>
                <w:rFonts w:ascii="Arial" w:cs="Arial" w:eastAsia="Arial" w:hAnsi="Arial"/>
                <w:b/>
                <w:bCs/>
                <w:i w:val="false"/>
                <w:iCs w:val="false"/>
                <w:color w:val="FFFFFF"/>
                <w:sz w:val="27"/>
                <w:szCs w:val="27"/>
              </w:rPr>
              <w:t xml:space="preserve">Structured Interview Guide &amp; Reference Check — Worked Example</w:t>
            </w:r>
          </w:p>
        </w:tc>
      </w:tr>
      <w:tr>
        <w:tc>
          <w:tcPr>
            <w:tcW w:type="dxa" w:w="9360"/>
            <w:shd w:fill="2E6E8E" w:val="clear"/>
            <w:tcMar>
              <w:top w:type="dxa" w:w="80"/>
              <w:left w:type="dxa" w:w="180"/>
              <w:bottom w:type="dxa" w:w="80"/>
              <w:right w:type="dxa" w:w="180"/>
            </w:tcMar>
          </w:tcPr>
          <w:p>
            <w:pPr>
              <w:spacing w:after="0"/>
            </w:pPr>
            <w:r>
              <w:rPr>
                <w:rFonts w:ascii="Arial" w:cs="Arial" w:eastAsia="Arial" w:hAnsi="Arial"/>
                <w:b w:val="false"/>
                <w:bCs w:val="false"/>
                <w:i w:val="false"/>
                <w:iCs w:val="false"/>
                <w:color w:val="FFFFFF"/>
                <w:sz w:val="18"/>
                <w:szCs w:val="18"/>
              </w:rPr>
              <w:t xml:space="preserve">The STR Cleaning Blueprint™  ·  Chapter 9  ·  Operations Vault   |   Summit Cleaning Solutions</w:t>
            </w:r>
          </w:p>
        </w:tc>
      </w:tr>
    </w:tbl>
    <w:p>
      <w:pPr>
        <w:spacing w:after="80"/>
      </w:pPr>
      <w:r>
        <w:rPr>
          <w:rFonts w:ascii="Arial" w:cs="Arial" w:eastAsia="Arial" w:hAnsi="Arial"/>
          <w:b w:val="false"/>
          <w:bCs w:val="false"/>
          <w:i w:val="false"/>
          <w:iCs w:val="false"/>
          <w:color w:val="000000"/>
          <w:sz w:val="21"/>
          <w:szCs w:val="21"/>
        </w:rPr>
        <w:t xml:space="preserve"/>
      </w:r>
    </w:p>
    <w:p>
      <w:pPr>
        <w:spacing w:after="120" w:before="0" w:line="276"/>
        <w:jc w:val="left"/>
      </w:pPr>
      <w:r>
        <w:rPr>
          <w:rFonts w:ascii="Arial" w:cs="Arial" w:eastAsia="Arial" w:hAnsi="Arial"/>
          <w:b w:val="false"/>
          <w:bCs w:val="false"/>
          <w:i/>
          <w:iCs/>
          <w:color w:val="777777"/>
          <w:sz w:val="21"/>
          <w:szCs w:val="21"/>
        </w:rPr>
        <w:t xml:space="preserve">Worked for Summit Cleaning Solutions — Michelle Reyes's interview panel for a Cleaning Technician I opening; the same six questions and anchors used for every candidate.</w:t>
      </w:r>
    </w:p>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4"/>
              <w:left w:val="single" w:color="CCCCCC" w:sz="4"/>
              <w:bottom w:val="single" w:color="CCCCCC" w:sz="4"/>
              <w:right w:val="single" w:color="CCCCCC" w:sz="4"/>
            </w:tcBorders>
            <w:shd w:fill="FBE4E4" w:val="clear"/>
            <w:tcMar>
              <w:top w:type="dxa" w:w="100"/>
              <w:left w:type="dxa" w:w="160"/>
              <w:bottom w:type="dxa" w:w="100"/>
              <w:right w:type="dxa" w:w="160"/>
            </w:tcMar>
          </w:tcPr>
          <w:p>
            <w:pPr>
              <w:spacing w:after="60" w:before="0" w:line="276"/>
              <w:jc w:val="left"/>
            </w:pPr>
            <w:r>
              <w:rPr>
                <w:rFonts w:ascii="Arial" w:cs="Arial" w:eastAsia="Arial" w:hAnsi="Arial"/>
                <w:b/>
                <w:bCs/>
                <w:i w:val="false"/>
                <w:iCs w:val="false"/>
                <w:color w:val="9C2B2B"/>
                <w:sz w:val="18"/>
                <w:szCs w:val="18"/>
              </w:rPr>
              <w:t xml:space="preserve">⚖  LEGAL CHECKPOINT</w:t>
            </w:r>
          </w:p>
          <w:p>
            <w:pPr>
              <w:spacing w:after="40" w:before="0" w:line="276"/>
              <w:jc w:val="left"/>
            </w:pPr>
            <w:r>
              <w:rPr>
                <w:rFonts w:ascii="Arial" w:cs="Arial" w:eastAsia="Arial" w:hAnsi="Arial"/>
                <w:b w:val="false"/>
                <w:bCs w:val="false"/>
                <w:i w:val="false"/>
                <w:iCs w:val="false"/>
                <w:color w:val="000000"/>
                <w:sz w:val="19"/>
                <w:szCs w:val="19"/>
              </w:rPr>
              <w:t xml:space="preserve">Ask only lawful, job-related questions. Do not ask about age, race, religion, national origin, disability, family/pregnancy, or other protected characteristics. Wage-and-hour, background-check, and ban-the-box rules vary by jurisdiction and change — obtain qualified local employment guidance before finalizing your process.</w:t>
            </w:r>
          </w:p>
        </w:tc>
      </w:tr>
    </w:tbl>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none"/>
          <w:left w:val="none"/>
          <w:bottom w:val="none"/>
          <w:right w:val="none"/>
          <w:insideH w:val="none"/>
          <w:insideV w:val="none"/>
        </w:tblBorders>
      </w:tblPr>
      <w:tblGrid>
        <w:gridCol w:w="9360"/>
      </w:tblGrid>
      <w:tr>
        <w:tc>
          <w:tcPr>
            <w:tcW w:type="dxa" w:w="9360"/>
            <w:shd w:fill="2E6E8E" w:val="clear"/>
            <w:tcMar>
              <w:top w:type="dxa" w:w="60"/>
              <w:left w:type="dxa" w:w="150"/>
              <w:bottom w:type="dxa" w:w="60"/>
              <w:right w:type="dxa" w:w="150"/>
            </w:tcMar>
          </w:tcPr>
          <w:p>
            <w:pPr>
              <w:spacing w:after="0"/>
            </w:pPr>
            <w:r>
              <w:rPr>
                <w:rFonts w:ascii="Arial" w:cs="Arial" w:eastAsia="Arial" w:hAnsi="Arial"/>
                <w:b/>
                <w:bCs/>
                <w:i w:val="false"/>
                <w:iCs w:val="false"/>
                <w:color w:val="FFFFFF"/>
                <w:sz w:val="20"/>
                <w:szCs w:val="20"/>
              </w:rPr>
              <w:t xml:space="preserve">PART 1 — SELECTION SEQUENCE</w:t>
            </w:r>
          </w:p>
        </w:tc>
      </w:tr>
    </w:tbl>
    <w:p>
      <w:pPr>
        <w:spacing w:after="70" w:before="0" w:line="276"/>
        <w:jc w:val="left"/>
      </w:pPr>
      <w:r>
        <w:rPr>
          <w:rFonts w:ascii="Arial" w:cs="Arial" w:eastAsia="Arial" w:hAnsi="Arial"/>
          <w:b/>
          <w:bCs/>
          <w:i w:val="false"/>
          <w:iCs w:val="false"/>
          <w:color w:val="000000"/>
          <w:sz w:val="19"/>
          <w:szCs w:val="19"/>
        </w:rPr>
        <w:t xml:space="preserve">1.  </w:t>
      </w:r>
      <w:r>
        <w:rPr>
          <w:rFonts w:ascii="Arial" w:cs="Arial" w:eastAsia="Arial" w:hAnsi="Arial"/>
          <w:b w:val="false"/>
          <w:bCs w:val="false"/>
          <w:i w:val="false"/>
          <w:iCs w:val="false"/>
          <w:color w:val="000000"/>
          <w:sz w:val="19"/>
          <w:szCs w:val="19"/>
        </w:rPr>
        <w:t xml:space="preserve">Application screen against lawful minimum requirements and availability.</w:t>
      </w:r>
    </w:p>
    <w:p>
      <w:pPr>
        <w:spacing w:after="70" w:before="0" w:line="276"/>
        <w:jc w:val="left"/>
      </w:pPr>
      <w:r>
        <w:rPr>
          <w:rFonts w:ascii="Arial" w:cs="Arial" w:eastAsia="Arial" w:hAnsi="Arial"/>
          <w:b/>
          <w:bCs/>
          <w:i w:val="false"/>
          <w:iCs w:val="false"/>
          <w:color w:val="000000"/>
          <w:sz w:val="19"/>
          <w:szCs w:val="19"/>
        </w:rPr>
        <w:t xml:space="preserve">2.  </w:t>
      </w:r>
      <w:r>
        <w:rPr>
          <w:rFonts w:ascii="Arial" w:cs="Arial" w:eastAsia="Arial" w:hAnsi="Arial"/>
          <w:b w:val="false"/>
          <w:bCs w:val="false"/>
          <w:i w:val="false"/>
          <w:iCs w:val="false"/>
          <w:color w:val="000000"/>
          <w:sz w:val="19"/>
          <w:szCs w:val="19"/>
        </w:rPr>
        <w:t xml:space="preserve">Short phone/video screen to confirm logistics and explain the work.</w:t>
      </w:r>
    </w:p>
    <w:p>
      <w:pPr>
        <w:spacing w:after="70" w:before="0" w:line="276"/>
        <w:jc w:val="left"/>
      </w:pPr>
      <w:r>
        <w:rPr>
          <w:rFonts w:ascii="Arial" w:cs="Arial" w:eastAsia="Arial" w:hAnsi="Arial"/>
          <w:b/>
          <w:bCs/>
          <w:i w:val="false"/>
          <w:iCs w:val="false"/>
          <w:color w:val="000000"/>
          <w:sz w:val="19"/>
          <w:szCs w:val="19"/>
        </w:rPr>
        <w:t xml:space="preserve">3.  </w:t>
      </w:r>
      <w:r>
        <w:rPr>
          <w:rFonts w:ascii="Arial" w:cs="Arial" w:eastAsia="Arial" w:hAnsi="Arial"/>
          <w:b w:val="false"/>
          <w:bCs w:val="false"/>
          <w:i w:val="false"/>
          <w:iCs w:val="false"/>
          <w:color w:val="000000"/>
          <w:sz w:val="19"/>
          <w:szCs w:val="19"/>
        </w:rPr>
        <w:t xml:space="preserve">Structured interview using the same core questions and scoring anchors.</w:t>
      </w:r>
    </w:p>
    <w:p>
      <w:pPr>
        <w:spacing w:after="70" w:before="0" w:line="276"/>
        <w:jc w:val="left"/>
      </w:pPr>
      <w:r>
        <w:rPr>
          <w:rFonts w:ascii="Arial" w:cs="Arial" w:eastAsia="Arial" w:hAnsi="Arial"/>
          <w:b/>
          <w:bCs/>
          <w:i w:val="false"/>
          <w:iCs w:val="false"/>
          <w:color w:val="000000"/>
          <w:sz w:val="19"/>
          <w:szCs w:val="19"/>
        </w:rPr>
        <w:t xml:space="preserve">4.  </w:t>
      </w:r>
      <w:r>
        <w:rPr>
          <w:rFonts w:ascii="Arial" w:cs="Arial" w:eastAsia="Arial" w:hAnsi="Arial"/>
          <w:b w:val="false"/>
          <w:bCs w:val="false"/>
          <w:i w:val="false"/>
          <w:iCs w:val="false"/>
          <w:color w:val="000000"/>
          <w:sz w:val="19"/>
          <w:szCs w:val="19"/>
        </w:rPr>
        <w:t xml:space="preserve">Realistic job preview, including the difficult parts of the role.</w:t>
      </w:r>
    </w:p>
    <w:p>
      <w:pPr>
        <w:spacing w:after="70" w:before="0" w:line="276"/>
        <w:jc w:val="left"/>
      </w:pPr>
      <w:r>
        <w:rPr>
          <w:rFonts w:ascii="Arial" w:cs="Arial" w:eastAsia="Arial" w:hAnsi="Arial"/>
          <w:b/>
          <w:bCs/>
          <w:i w:val="false"/>
          <w:iCs w:val="false"/>
          <w:color w:val="000000"/>
          <w:sz w:val="19"/>
          <w:szCs w:val="19"/>
        </w:rPr>
        <w:t xml:space="preserve">5.  </w:t>
      </w:r>
      <w:r>
        <w:rPr>
          <w:rFonts w:ascii="Arial" w:cs="Arial" w:eastAsia="Arial" w:hAnsi="Arial"/>
          <w:b w:val="false"/>
          <w:bCs w:val="false"/>
          <w:i w:val="false"/>
          <w:iCs w:val="false"/>
          <w:color w:val="000000"/>
          <w:sz w:val="19"/>
          <w:szCs w:val="19"/>
        </w:rPr>
        <w:t xml:space="preserve">Paid work sample or skills assessment where lawful and appropriately designed.</w:t>
      </w:r>
    </w:p>
    <w:p>
      <w:pPr>
        <w:spacing w:after="70" w:before="0" w:line="276"/>
        <w:jc w:val="left"/>
      </w:pPr>
      <w:r>
        <w:rPr>
          <w:rFonts w:ascii="Arial" w:cs="Arial" w:eastAsia="Arial" w:hAnsi="Arial"/>
          <w:b/>
          <w:bCs/>
          <w:i w:val="false"/>
          <w:iCs w:val="false"/>
          <w:color w:val="000000"/>
          <w:sz w:val="19"/>
          <w:szCs w:val="19"/>
        </w:rPr>
        <w:t xml:space="preserve">6.  </w:t>
      </w:r>
      <w:r>
        <w:rPr>
          <w:rFonts w:ascii="Arial" w:cs="Arial" w:eastAsia="Arial" w:hAnsi="Arial"/>
          <w:b w:val="false"/>
          <w:bCs w:val="false"/>
          <w:i w:val="false"/>
          <w:iCs w:val="false"/>
          <w:color w:val="000000"/>
          <w:sz w:val="19"/>
          <w:szCs w:val="19"/>
        </w:rPr>
        <w:t xml:space="preserve">References and background checks where lawful, relevant, and disclosed.</w:t>
      </w:r>
    </w:p>
    <w:p>
      <w:pPr>
        <w:spacing w:after="70" w:before="0" w:line="276"/>
        <w:jc w:val="left"/>
      </w:pPr>
      <w:r>
        <w:rPr>
          <w:rFonts w:ascii="Arial" w:cs="Arial" w:eastAsia="Arial" w:hAnsi="Arial"/>
          <w:b/>
          <w:bCs/>
          <w:i w:val="false"/>
          <w:iCs w:val="false"/>
          <w:color w:val="000000"/>
          <w:sz w:val="19"/>
          <w:szCs w:val="19"/>
        </w:rPr>
        <w:t xml:space="preserve">7.  </w:t>
      </w:r>
      <w:r>
        <w:rPr>
          <w:rFonts w:ascii="Arial" w:cs="Arial" w:eastAsia="Arial" w:hAnsi="Arial"/>
          <w:b w:val="false"/>
          <w:bCs w:val="false"/>
          <w:i w:val="false"/>
          <w:iCs w:val="false"/>
          <w:color w:val="000000"/>
          <w:sz w:val="19"/>
          <w:szCs w:val="19"/>
        </w:rPr>
        <w:t xml:space="preserve">Conditional offer with clear compensation, schedule, contingencies, and start plan.</w:t>
      </w:r>
    </w:p>
    <w:p>
      <w:pPr>
        <w:spacing w:after="70" w:before="0" w:line="276"/>
        <w:jc w:val="left"/>
      </w:pPr>
      <w:r>
        <w:rPr>
          <w:rFonts w:ascii="Arial" w:cs="Arial" w:eastAsia="Arial" w:hAnsi="Arial"/>
          <w:b/>
          <w:bCs/>
          <w:i w:val="false"/>
          <w:iCs w:val="false"/>
          <w:color w:val="000000"/>
          <w:sz w:val="19"/>
          <w:szCs w:val="19"/>
        </w:rPr>
        <w:t xml:space="preserve">8.  </w:t>
      </w:r>
      <w:r>
        <w:rPr>
          <w:rFonts w:ascii="Arial" w:cs="Arial" w:eastAsia="Arial" w:hAnsi="Arial"/>
          <w:b w:val="false"/>
          <w:bCs w:val="false"/>
          <w:i w:val="false"/>
          <w:iCs w:val="false"/>
          <w:color w:val="000000"/>
          <w:sz w:val="19"/>
          <w:szCs w:val="19"/>
        </w:rPr>
        <w:t xml:space="preserve">Documented onboarding handoff so selection information is not lost.</w:t>
      </w:r>
    </w:p>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none"/>
          <w:left w:val="none"/>
          <w:bottom w:val="none"/>
          <w:right w:val="none"/>
          <w:insideH w:val="none"/>
          <w:insideV w:val="none"/>
        </w:tblBorders>
      </w:tblPr>
      <w:tblGrid>
        <w:gridCol w:w="9360"/>
      </w:tblGrid>
      <w:tr>
        <w:tc>
          <w:tcPr>
            <w:tcW w:type="dxa" w:w="9360"/>
            <w:shd w:fill="2E6E8E" w:val="clear"/>
            <w:tcMar>
              <w:top w:type="dxa" w:w="60"/>
              <w:left w:type="dxa" w:w="150"/>
              <w:bottom w:type="dxa" w:w="60"/>
              <w:right w:type="dxa" w:w="150"/>
            </w:tcMar>
          </w:tcPr>
          <w:p>
            <w:pPr>
              <w:spacing w:after="0"/>
            </w:pPr>
            <w:r>
              <w:rPr>
                <w:rFonts w:ascii="Arial" w:cs="Arial" w:eastAsia="Arial" w:hAnsi="Arial"/>
                <w:b/>
                <w:bCs/>
                <w:i w:val="false"/>
                <w:iCs w:val="false"/>
                <w:color w:val="FFFFFF"/>
                <w:sz w:val="20"/>
                <w:szCs w:val="20"/>
              </w:rPr>
              <w:t xml:space="preserve">PART 2 — STRUCTURED INTERVIEW QUESTIONS</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400"/>
        <w:gridCol w:w="2400"/>
        <w:gridCol w:w="3560"/>
      </w:tblGrid>
      <w:tr>
        <w:trPr>
          <w:tblHeader/>
        </w:trPr>
        <w:tc>
          <w:tcPr>
            <w:tcW w:type="dxa" w:w="3400"/>
            <w:tcBorders>
              <w:top w:val="single" w:color="BBBBBB" w:sz="4"/>
              <w:left w:val="single" w:color="BBBBBB" w:sz="4"/>
              <w:bottom w:val="single" w:color="BBBBBB" w:sz="4"/>
              <w:right w:val="single" w:color="BBBBBB" w:sz="4"/>
            </w:tcBorders>
            <w:shd w:fill="1F3B57" w:val="clear"/>
            <w:tcMar>
              <w:top w:type="dxa" w:w="55"/>
              <w:left w:type="dxa" w:w="120"/>
              <w:bottom w:type="dxa" w:w="55"/>
              <w:right w:type="dxa" w:w="120"/>
            </w:tcMar>
          </w:tcPr>
          <w:p>
            <w:pPr>
              <w:spacing w:after="0" w:before="0" w:line="276"/>
              <w:jc w:val="left"/>
            </w:pPr>
            <w:r>
              <w:rPr>
                <w:rFonts w:ascii="Arial" w:cs="Arial" w:eastAsia="Arial" w:hAnsi="Arial"/>
                <w:b/>
                <w:bCs/>
                <w:i w:val="false"/>
                <w:iCs w:val="false"/>
                <w:color w:val="FFFFFF"/>
                <w:sz w:val="16"/>
                <w:szCs w:val="16"/>
              </w:rPr>
              <w:t xml:space="preserve">Question</w:t>
            </w:r>
          </w:p>
        </w:tc>
        <w:tc>
          <w:tcPr>
            <w:tcW w:type="dxa" w:w="2400"/>
            <w:tcBorders>
              <w:top w:val="single" w:color="BBBBBB" w:sz="4"/>
              <w:left w:val="single" w:color="BBBBBB" w:sz="4"/>
              <w:bottom w:val="single" w:color="BBBBBB" w:sz="4"/>
              <w:right w:val="single" w:color="BBBBBB" w:sz="4"/>
            </w:tcBorders>
            <w:shd w:fill="1F3B57" w:val="clear"/>
            <w:tcMar>
              <w:top w:type="dxa" w:w="55"/>
              <w:left w:type="dxa" w:w="120"/>
              <w:bottom w:type="dxa" w:w="55"/>
              <w:right w:type="dxa" w:w="120"/>
            </w:tcMar>
          </w:tcPr>
          <w:p>
            <w:pPr>
              <w:spacing w:after="0" w:before="0" w:line="276"/>
              <w:jc w:val="left"/>
            </w:pPr>
            <w:r>
              <w:rPr>
                <w:rFonts w:ascii="Arial" w:cs="Arial" w:eastAsia="Arial" w:hAnsi="Arial"/>
                <w:b/>
                <w:bCs/>
                <w:i w:val="false"/>
                <w:iCs w:val="false"/>
                <w:color w:val="FFFFFF"/>
                <w:sz w:val="16"/>
                <w:szCs w:val="16"/>
              </w:rPr>
              <w:t xml:space="preserve">Capability tested</w:t>
            </w:r>
          </w:p>
        </w:tc>
        <w:tc>
          <w:tcPr>
            <w:tcW w:type="dxa" w:w="3560"/>
            <w:tcBorders>
              <w:top w:val="single" w:color="BBBBBB" w:sz="4"/>
              <w:left w:val="single" w:color="BBBBBB" w:sz="4"/>
              <w:bottom w:val="single" w:color="BBBBBB" w:sz="4"/>
              <w:right w:val="single" w:color="BBBBBB" w:sz="4"/>
            </w:tcBorders>
            <w:shd w:fill="1F3B57" w:val="clear"/>
            <w:tcMar>
              <w:top w:type="dxa" w:w="55"/>
              <w:left w:type="dxa" w:w="120"/>
              <w:bottom w:type="dxa" w:w="55"/>
              <w:right w:type="dxa" w:w="120"/>
            </w:tcMar>
          </w:tcPr>
          <w:p>
            <w:pPr>
              <w:spacing w:after="0" w:before="0" w:line="276"/>
              <w:jc w:val="left"/>
            </w:pPr>
            <w:r>
              <w:rPr>
                <w:rFonts w:ascii="Arial" w:cs="Arial" w:eastAsia="Arial" w:hAnsi="Arial"/>
                <w:b/>
                <w:bCs/>
                <w:i w:val="false"/>
                <w:iCs w:val="false"/>
                <w:color w:val="FFFFFF"/>
                <w:sz w:val="16"/>
                <w:szCs w:val="16"/>
              </w:rPr>
              <w:t xml:space="preserve">Strong evidence</w:t>
            </w:r>
          </w:p>
        </w:tc>
      </w:tr>
      <w:tr>
        <w:tc>
          <w:tcPr>
            <w:tcW w:type="dxa" w:w="34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Tell me about a problem nobody else had noticed.</w:t>
            </w:r>
          </w:p>
        </w:tc>
        <w:tc>
          <w:tcPr>
            <w:tcW w:type="dxa" w:w="24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Attention &amp; initiative</w:t>
            </w:r>
          </w:p>
        </w:tc>
        <w:tc>
          <w:tcPr>
            <w:tcW w:type="dxa" w:w="35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Specific observation, action, communication, result.</w:t>
            </w:r>
          </w:p>
        </w:tc>
      </w:tr>
      <w:tr>
        <w:tc>
          <w:tcPr>
            <w:tcW w:type="dxa" w:w="34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Running behind with check-in approaching — what do you do?</w:t>
            </w:r>
          </w:p>
        </w:tc>
        <w:tc>
          <w:tcPr>
            <w:tcW w:type="dxa" w:w="24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Judgment &amp; communication</w:t>
            </w:r>
          </w:p>
        </w:tc>
        <w:tc>
          <w:tcPr>
            <w:tcW w:type="dxa" w:w="35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Early escalation, factual status, prioritization, no hidden shortcuts.</w:t>
            </w:r>
          </w:p>
        </w:tc>
      </w:tr>
      <w:tr>
        <w:tc>
          <w:tcPr>
            <w:tcW w:type="dxa" w:w="34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A checklist conflicts with what a coworker told you?</w:t>
            </w:r>
          </w:p>
        </w:tc>
        <w:tc>
          <w:tcPr>
            <w:tcW w:type="dxa" w:w="24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Standards discipline</w:t>
            </w:r>
          </w:p>
        </w:tc>
        <w:tc>
          <w:tcPr>
            <w:tcW w:type="dxa" w:w="35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Pause, verify source of truth, document the clarification.</w:t>
            </w:r>
          </w:p>
        </w:tc>
      </w:tr>
      <w:tr>
        <w:tc>
          <w:tcPr>
            <w:tcW w:type="dxa" w:w="34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You find cash, medication, or a personal item?</w:t>
            </w:r>
          </w:p>
        </w:tc>
        <w:tc>
          <w:tcPr>
            <w:tcW w:type="dxa" w:w="24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Integrity &amp; chain of custody</w:t>
            </w:r>
          </w:p>
        </w:tc>
        <w:tc>
          <w:tcPr>
            <w:tcW w:type="dxa" w:w="35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No pocketing/casual relocation/needless photos; follow lost-item protocol.</w:t>
            </w:r>
          </w:p>
        </w:tc>
      </w:tr>
      <w:tr>
        <w:tc>
          <w:tcPr>
            <w:tcW w:type="dxa" w:w="34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Describe feedback that changed how you worked.</w:t>
            </w:r>
          </w:p>
        </w:tc>
        <w:tc>
          <w:tcPr>
            <w:tcW w:type="dxa" w:w="24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Coachability</w:t>
            </w:r>
          </w:p>
        </w:tc>
        <w:tc>
          <w:tcPr>
            <w:tcW w:type="dxa" w:w="35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Owns the lesson, explains application, avoids blaming the coach.</w:t>
            </w:r>
          </w:p>
        </w:tc>
      </w:tr>
      <w:tr>
        <w:tc>
          <w:tcPr>
            <w:tcW w:type="dxa" w:w="34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Unsafe chemical, broken glass, or aggressive animal?</w:t>
            </w:r>
          </w:p>
        </w:tc>
        <w:tc>
          <w:tcPr>
            <w:tcW w:type="dxa" w:w="24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Safety judgment</w:t>
            </w:r>
          </w:p>
        </w:tc>
        <w:tc>
          <w:tcPr>
            <w:tcW w:type="dxa" w:w="35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Stops work, protects people, isolates hazard, escalates.</w:t>
            </w:r>
          </w:p>
        </w:tc>
      </w:tr>
    </w:tbl>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none"/>
          <w:left w:val="none"/>
          <w:bottom w:val="none"/>
          <w:right w:val="none"/>
          <w:insideH w:val="none"/>
          <w:insideV w:val="none"/>
        </w:tblBorders>
      </w:tblPr>
      <w:tblGrid>
        <w:gridCol w:w="9360"/>
      </w:tblGrid>
      <w:tr>
        <w:tc>
          <w:tcPr>
            <w:tcW w:type="dxa" w:w="9360"/>
            <w:shd w:fill="2E6E8E" w:val="clear"/>
            <w:tcMar>
              <w:top w:type="dxa" w:w="60"/>
              <w:left w:type="dxa" w:w="150"/>
              <w:bottom w:type="dxa" w:w="60"/>
              <w:right w:type="dxa" w:w="150"/>
            </w:tcMar>
          </w:tcPr>
          <w:p>
            <w:pPr>
              <w:spacing w:after="0"/>
            </w:pPr>
            <w:r>
              <w:rPr>
                <w:rFonts w:ascii="Arial" w:cs="Arial" w:eastAsia="Arial" w:hAnsi="Arial"/>
                <w:b/>
                <w:bCs/>
                <w:i w:val="false"/>
                <w:iCs w:val="false"/>
                <w:color w:val="FFFFFF"/>
                <w:sz w:val="20"/>
                <w:szCs w:val="20"/>
              </w:rPr>
              <w:t xml:space="preserve">PART 3 — REFERENCE CHECK FORM (LAWFUL, JOB-RELATED)</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900"/>
        <w:gridCol w:w="5460"/>
      </w:tblGrid>
      <w:tr>
        <w:tc>
          <w:tcPr>
            <w:tcW w:type="dxa" w:w="39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Reference name / relationship / dates</w:t>
            </w:r>
          </w:p>
        </w:tc>
        <w:tc>
          <w:tcPr>
            <w:tcW w:type="dxa" w:w="5460"/>
            <w:tcBorders>
              <w:top w:val="single" w:color="BBBBBB" w:sz="4"/>
              <w:left w:val="single" w:color="BBBBBB" w:sz="4"/>
              <w:bottom w:val="single" w:color="BBBBBB" w:sz="4"/>
              <w:right w:val="single" w:color="BBBBBB" w:sz="4"/>
            </w:tcBorders>
            <w:shd w:fill="FFFFFF"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Prior supervisor · 2023–2025</w:t>
            </w:r>
          </w:p>
        </w:tc>
      </w:tr>
      <w:tr>
        <w:tc>
          <w:tcPr>
            <w:tcW w:type="dxa" w:w="39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Reliability &amp; attendance (job-related)</w:t>
            </w:r>
          </w:p>
        </w:tc>
        <w:tc>
          <w:tcPr>
            <w:tcW w:type="dxa" w:w="5460"/>
            <w:tcBorders>
              <w:top w:val="single" w:color="BBBBBB" w:sz="4"/>
              <w:left w:val="single" w:color="BBBBBB" w:sz="4"/>
              <w:bottom w:val="single" w:color="BBBBBB" w:sz="4"/>
              <w:right w:val="single" w:color="BBBBBB" w:sz="4"/>
            </w:tcBorders>
            <w:shd w:fill="FFFFFF"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Dependable; gave proper notice</w:t>
            </w:r>
          </w:p>
        </w:tc>
      </w:tr>
      <w:tr>
        <w:tc>
          <w:tcPr>
            <w:tcW w:type="dxa" w:w="39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Quality &amp; attention to detail</w:t>
            </w:r>
          </w:p>
        </w:tc>
        <w:tc>
          <w:tcPr>
            <w:tcW w:type="dxa" w:w="5460"/>
            <w:tcBorders>
              <w:top w:val="single" w:color="BBBBBB" w:sz="4"/>
              <w:left w:val="single" w:color="BBBBBB" w:sz="4"/>
              <w:bottom w:val="single" w:color="BBBBBB" w:sz="4"/>
              <w:right w:val="single" w:color="BBBBBB" w:sz="4"/>
            </w:tcBorders>
            <w:shd w:fill="FFFFFF"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Thorough; caught details</w:t>
            </w:r>
          </w:p>
        </w:tc>
      </w:tr>
      <w:tr>
        <w:tc>
          <w:tcPr>
            <w:tcW w:type="dxa" w:w="39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Coachability &amp; conduct</w:t>
            </w:r>
          </w:p>
        </w:tc>
        <w:tc>
          <w:tcPr>
            <w:tcW w:type="dxa" w:w="5460"/>
            <w:tcBorders>
              <w:top w:val="single" w:color="BBBBBB" w:sz="4"/>
              <w:left w:val="single" w:color="BBBBBB" w:sz="4"/>
              <w:bottom w:val="single" w:color="BBBBBB" w:sz="4"/>
              <w:right w:val="single" w:color="BBBBBB" w:sz="4"/>
            </w:tcBorders>
            <w:shd w:fill="FFFFFF"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Took feedback well; professional</w:t>
            </w:r>
          </w:p>
        </w:tc>
      </w:tr>
      <w:tr>
        <w:tc>
          <w:tcPr>
            <w:tcW w:type="dxa" w:w="39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Eligible for rehire (if disclosed)</w:t>
            </w:r>
          </w:p>
        </w:tc>
        <w:tc>
          <w:tcPr>
            <w:tcW w:type="dxa" w:w="5460"/>
            <w:tcBorders>
              <w:top w:val="single" w:color="BBBBBB" w:sz="4"/>
              <w:left w:val="single" w:color="BBBBBB" w:sz="4"/>
              <w:bottom w:val="single" w:color="BBBBBB" w:sz="4"/>
              <w:right w:val="single" w:color="BBBBBB" w:sz="4"/>
            </w:tcBorders>
            <w:shd w:fill="FFFFFF"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Yes</w:t>
            </w:r>
          </w:p>
        </w:tc>
      </w:tr>
      <w:tr>
        <w:tc>
          <w:tcPr>
            <w:tcW w:type="dxa" w:w="39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Interviewer &amp; date</w:t>
            </w:r>
          </w:p>
        </w:tc>
        <w:tc>
          <w:tcPr>
            <w:tcW w:type="dxa" w:w="5460"/>
            <w:tcBorders>
              <w:top w:val="single" w:color="BBBBBB" w:sz="4"/>
              <w:left w:val="single" w:color="BBBBBB" w:sz="4"/>
              <w:bottom w:val="single" w:color="BBBBBB" w:sz="4"/>
              <w:right w:val="single" w:color="BBBBBB" w:sz="4"/>
            </w:tcBorders>
            <w:shd w:fill="FFFFFF"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Michelle Reyes · 07/2026</w:t>
            </w:r>
          </w:p>
        </w:tc>
      </w:tr>
    </w:tbl>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4"/>
              <w:left w:val="single" w:color="CCCCCC" w:sz="4"/>
              <w:bottom w:val="single" w:color="CCCCCC" w:sz="4"/>
              <w:right w:val="single" w:color="CCCCCC" w:sz="4"/>
            </w:tcBorders>
            <w:shd w:fill="EAF1F5" w:val="clear"/>
            <w:tcMar>
              <w:top w:type="dxa" w:w="100"/>
              <w:left w:type="dxa" w:w="160"/>
              <w:bottom w:type="dxa" w:w="100"/>
              <w:right w:type="dxa" w:w="160"/>
            </w:tcMar>
          </w:tcPr>
          <w:p>
            <w:pPr>
              <w:spacing w:after="60" w:before="0" w:line="276"/>
              <w:jc w:val="left"/>
            </w:pPr>
            <w:r>
              <w:rPr>
                <w:rFonts w:ascii="Arial" w:cs="Arial" w:eastAsia="Arial" w:hAnsi="Arial"/>
                <w:b/>
                <w:bCs/>
                <w:i w:val="false"/>
                <w:iCs w:val="false"/>
                <w:color w:val="1F3B57"/>
                <w:sz w:val="18"/>
                <w:szCs w:val="18"/>
              </w:rPr>
              <w:t xml:space="preserve">PROFESSIONAL STANDARD</w:t>
            </w:r>
          </w:p>
          <w:p>
            <w:pPr>
              <w:spacing w:after="40" w:before="0" w:line="276"/>
              <w:jc w:val="left"/>
            </w:pPr>
            <w:r>
              <w:rPr>
                <w:rFonts w:ascii="Arial" w:cs="Arial" w:eastAsia="Arial" w:hAnsi="Arial"/>
                <w:b w:val="false"/>
                <w:bCs w:val="false"/>
                <w:i w:val="false"/>
                <w:iCs w:val="false"/>
                <w:color w:val="000000"/>
                <w:sz w:val="19"/>
                <w:szCs w:val="19"/>
              </w:rPr>
              <w:t xml:space="preserve">The scorecard does not replace judgment — it makes judgment visible. Decline only for a lawful, job-related reason that connects to the role, never a vague feeling the person was not "a fit."</w:t>
            </w:r>
          </w:p>
        </w:tc>
      </w:tr>
    </w:tbl>
    <w:p>
      <w:pPr>
        <w:spacing w:after="120" w:before="120" w:line="276"/>
        <w:jc w:val="left"/>
      </w:pPr>
      <w:r>
        <w:rPr>
          <w:rFonts w:ascii="Arial" w:cs="Arial" w:eastAsia="Arial" w:hAnsi="Arial"/>
          <w:b w:val="false"/>
          <w:bCs w:val="false"/>
          <w:i/>
          <w:iCs/>
          <w:color w:val="777777"/>
          <w:sz w:val="16"/>
          <w:szCs w:val="16"/>
        </w:rPr>
        <w:t xml:space="preserve">A planning instrument, not a guarantee of business success. Vendor-neutral — usable with any tools, team structure, or software.  ·  The STR Cleaning Blueprint™</w:t>
      </w:r>
    </w:p>
    <w:sectPr>
      <w:pgSz w:w="12240" w:h="15840" w:orient="portrait"/>
      <w:pgMar w:top="1080" w:right="1440" w:bottom="108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2026-07-31T15:22:51.085Z</dcterms:created>
  <dcterms:modified xsi:type="dcterms:W3CDTF">2026-07-31T15:22:51.085Z</dcterms:modified>
</cp:coreProperties>
</file>

<file path=docProps/custom.xml><?xml version="1.0" encoding="utf-8"?>
<Properties xmlns="http://schemas.openxmlformats.org/officeDocument/2006/custom-properties" xmlns:vt="http://schemas.openxmlformats.org/officeDocument/2006/docPropsVTypes"/>
</file>