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PM Qualification &amp; Portfolio Opportunity Assessment</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10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A property manager is not simply a larger customer — they are an operating partner whose systems, information, authority, and decisions must work with yours. The account most capable of accelerating growth may also be the account most capable of destabilizing the company. Test four forms of fit before saying yes; the answer may be accept, decline, delay, phase, pilot, or accept-with-conditions.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PARTNERSHIP MODEL (SIX CONNECTED DIMENSIONS)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200"/>
        <w:gridCol w:w="3160"/>
      </w:tblGrid>
      <w:tr>
        <w:trPr>
          <w:tblHeader/>
        </w:trPr>
        <w:tc>
          <w:tcPr>
            <w:tcW w:type="dxa" w:w="20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Dimension</w:t>
            </w:r>
          </w:p>
        </w:tc>
        <w:tc>
          <w:tcPr>
            <w:tcW w:type="dxa" w:w="4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The judgment it requires</w:t>
            </w:r>
          </w:p>
        </w:tc>
        <w:tc>
          <w:tcPr>
            <w:tcW w:type="dxa" w:w="31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Your read</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Scope</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work is included, excluded, or separately authorized?</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Information</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must move, through which system, by what deadline?</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Authority</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Who may approve cost, change work, pause service, decide readiness?</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Execution</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How are jobs scheduled, verified, inspected, documented, closed?</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Financial alignment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Does price recover implementation, admin, risk, service?</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Governance</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How will both review performance, correct causes, adapt?</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FOUR FITS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Operational fit — matches our service model repeatably?</w:t>
            </w:r>
          </w:p>
        </w:tc>
        <w:tc>
          <w:tcPr>
            <w:tcW w:type="dxa" w:w="4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Capacity fit — survives the PEAK day, not the average?</w:t>
            </w:r>
          </w:p>
        </w:tc>
        <w:tc>
          <w:tcPr>
            <w:tcW w:type="dxa" w:w="4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Financial fit — recovers startup, assets, receivables, admin?</w:t>
            </w:r>
          </w:p>
        </w:tc>
        <w:tc>
          <w:tcPr>
            <w:tcW w:type="dxa" w:w="4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Risk fit — concentration if it pays late, shrinks, or exits?</w:t>
            </w:r>
          </w:p>
        </w:tc>
        <w:tc>
          <w:tcPr>
            <w:tcW w:type="dxa" w:w="4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DECISION STANDARD</w:t>
            </w:r>
          </w:p>
          <w:p>
            <w:pPr>
              <w:spacing w:after="40" w:before="0" w:line="276"/>
              <w:jc w:val="left"/>
            </w:pPr>
            <w:r>
              <w:rPr>
                <w:rFonts w:ascii="Arial" w:cs="Arial" w:eastAsia="Arial" w:hAnsi="Arial"/>
                <w:b w:val="false"/>
                <w:bCs w:val="false"/>
                <w:i w:val="false"/>
                <w:iCs w:val="false"/>
                <w:color w:val="000000"/>
                <w:sz w:val="19"/>
                <w:szCs w:val="19"/>
              </w:rPr>
              <w:t xml:space="preserve">A responsible answer may be "yes, after a six-week implementation and a five-property pilot." A conditional or phased acceptance often protects the relationship better than an enthusiastic immediate launch.</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c>
          <w:tcPr>
            <w:tcW w:type="dxa" w:w="5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Decision (accept / decline / delay / phase / pilot / conditional)</w:t>
            </w:r>
          </w:p>
        </w:tc>
        <w:tc>
          <w:tcPr>
            <w:tcW w:type="dxa" w:w="4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5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Conditions to satisfy first</w:t>
            </w:r>
          </w:p>
        </w:tc>
        <w:tc>
          <w:tcPr>
            <w:tcW w:type="dxa" w:w="4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&amp; CONTRACTUAL CHECKPOINT</w:t>
            </w:r>
          </w:p>
          <w:p>
            <w:pPr>
              <w:spacing w:after="40" w:before="0" w:line="276"/>
              <w:jc w:val="left"/>
            </w:pPr>
            <w:r>
              <w:rPr>
                <w:rFonts w:ascii="Arial" w:cs="Arial" w:eastAsia="Arial" w:hAnsi="Arial"/>
                <w:b w:val="false"/>
                <w:bCs w:val="false"/>
                <w:i w:val="false"/>
                <w:iCs w:val="false"/>
                <w:color w:val="000000"/>
                <w:sz w:val="19"/>
                <w:szCs w:val="19"/>
              </w:rPr>
              <w:t xml:space="preserve">Property-management agreements allocate substantial financial and operational risk. Obtain qualified legal and insurance guidance before signing terms involving indemnification and liability; insurance limits, additional-insured and waiver of subrogation; service commitments and dependency limits; payment, disputes, suspension; termination, notice, cure, transition; and confidentiality, credentials, owner/guest data, photographs, and retention. This tool identifies operating exposures — it is not a contract or a substitute for counsel.</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PM Qualification &amp; Portfolio Opportunity Assessment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10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assessing North Shore Vacation Rentals (40 lakeside homes, Sarah Mitchell, Operations Director) against Summit's 12-property base.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PARTNERSHIP MODEL (SIX CONNECTED DIMENSIONS)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200"/>
        <w:gridCol w:w="3160"/>
      </w:tblGrid>
      <w:tr>
        <w:trPr>
          <w:tblHeader/>
        </w:trPr>
        <w:tc>
          <w:tcPr>
            <w:tcW w:type="dxa" w:w="20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Dimension</w:t>
            </w:r>
          </w:p>
        </w:tc>
        <w:tc>
          <w:tcPr>
            <w:tcW w:type="dxa" w:w="4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The judgment it requires</w:t>
            </w:r>
          </w:p>
        </w:tc>
        <w:tc>
          <w:tcPr>
            <w:tcW w:type="dxa" w:w="31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North Shore read</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Scope</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work is included, excluded, or separately authorized?</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Turnovers + inspection; owner deep-cleans separately billed</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Information</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must move, through which system, by what deadline?</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Reservations via PMS/iCal — timing undefined (risk)</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Authority</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Who may approve cost, change work, pause service, decide readiness?</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Coordinator to a threshold; portfolio mgr above</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Execution</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How are jobs scheduled, verified, inspected, documented, closed?</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Summit standard + evidence</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Financial alignment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Does price recover implementation, admin, risk, service?</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Not yet — bedroom table misses admin/reconciliation</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Governance</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How will both review performance, correct causes, adapt?</w:t>
            </w:r>
          </w:p>
        </w:tc>
        <w:tc>
          <w:tcPr>
            <w:tcW w:type="dxa" w:w="31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To be built — weekly launch review</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FOUR FITS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Operational fit — matches our service model repeatably?</w:t>
            </w:r>
          </w:p>
        </w:tc>
        <w:tc>
          <w:tcPr>
            <w:tcW w:type="dxa" w:w="4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Lakeside geography fits; owner exceptions need control</w:t>
            </w:r>
          </w:p>
        </w:tc>
      </w:tr>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Capacity fit — survives the PEAK day, not the average?</w:t>
            </w:r>
          </w:p>
        </w:tc>
        <w:tc>
          <w:tcPr>
            <w:tcW w:type="dxa" w:w="4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See Portfolio Capacity Test — 11-hr peak gap before launch</w:t>
            </w:r>
          </w:p>
        </w:tc>
      </w:tr>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Financial fit — recovers startup, assets, receivables, admin?</w:t>
            </w:r>
          </w:p>
        </w:tc>
        <w:tc>
          <w:tcPr>
            <w:tcW w:type="dxa" w:w="4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Requires implementation fee + revised pricing</w:t>
            </w:r>
          </w:p>
        </w:tc>
      </w:tr>
      <w:tr>
        <w:tc>
          <w:tcPr>
            <w:tcW w:type="dxa" w:w="5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Risk fit — concentration if it pays late, shrinks, or exits?</w:t>
            </w:r>
          </w:p>
        </w:tc>
        <w:tc>
          <w:tcPr>
            <w:tcW w:type="dxa" w:w="4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Would ~triple revenue; 30-day notice = high concentration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DECISION STANDARD</w:t>
            </w:r>
          </w:p>
          <w:p>
            <w:pPr>
              <w:spacing w:after="40" w:before="0" w:line="276"/>
              <w:jc w:val="left"/>
            </w:pPr>
            <w:r>
              <w:rPr>
                <w:rFonts w:ascii="Arial" w:cs="Arial" w:eastAsia="Arial" w:hAnsi="Arial"/>
                <w:b w:val="false"/>
                <w:bCs w:val="false"/>
                <w:i w:val="false"/>
                <w:iCs w:val="false"/>
                <w:color w:val="000000"/>
                <w:sz w:val="19"/>
                <w:szCs w:val="19"/>
              </w:rPr>
              <w:t xml:space="preserve">A responsible answer may be "yes, after a six-week implementation and a five-property pilot." A conditional or phased acceptance often protects the relationship better than an enthusiastic immediate launch.</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c>
          <w:tcPr>
            <w:tcW w:type="dxa" w:w="5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Decision (accept / decline / delay / phase / pilot / conditional)</w:t>
            </w:r>
          </w:p>
        </w:tc>
        <w:tc>
          <w:tcPr>
            <w:tcW w:type="dxa" w:w="4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Conditional — 6-week implementation + 5-property pilot</w:t>
            </w:r>
          </w:p>
        </w:tc>
      </w:tr>
      <w:tr>
        <w:tc>
          <w:tcPr>
            <w:tcW w:type="dxa" w:w="5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Conditions to satisfy first</w:t>
            </w:r>
          </w:p>
        </w:tc>
        <w:tc>
          <w:tcPr>
            <w:tcW w:type="dxa" w:w="4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Reservation timing rule, implementation fee, revised pricing, approval matrix</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&amp; CONTRACTUAL CHECKPOINT</w:t>
            </w:r>
          </w:p>
          <w:p>
            <w:pPr>
              <w:spacing w:after="40" w:before="0" w:line="276"/>
              <w:jc w:val="left"/>
            </w:pPr>
            <w:r>
              <w:rPr>
                <w:rFonts w:ascii="Arial" w:cs="Arial" w:eastAsia="Arial" w:hAnsi="Arial"/>
                <w:b w:val="false"/>
                <w:bCs w:val="false"/>
                <w:i w:val="false"/>
                <w:iCs w:val="false"/>
                <w:color w:val="000000"/>
                <w:sz w:val="19"/>
                <w:szCs w:val="19"/>
              </w:rPr>
              <w:t xml:space="preserve">Property-management agreements allocate substantial financial and operational risk. Obtain qualified legal and insurance guidance before signing terms involving indemnification and liability; insurance limits, additional-insured and waiver of subrogation; service commitments and dependency limits; payment, disputes, suspension; termination, notice, cure, transition; and confidentiality, credentials, owner/guest data, photographs, and retention. This tool identifies operating exposures — it is not a contract or a substitute for counsel.</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2026-07-31T15:32:14.975Z</dcterms:created>
  <dcterms:modified xsi:type="dcterms:W3CDTF">2026-07-31T15:32:14.975Z</dcterms:modified>
</cp:coreProperties>
</file>

<file path=docProps/custom.xml><?xml version="1.0" encoding="utf-8"?>
<Properties xmlns="http://schemas.openxmlformats.org/officeDocument/2006/custom-properties" xmlns:vt="http://schemas.openxmlformats.org/officeDocument/2006/docPropsVTypes"/>
</file>