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Replication, Market Launch, Integration &amp; Stop/Hold/Reverse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12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A new market or major account is not additional jobs added to the schedule — it changes leadership demand, shared-service capacity, financial exposure, data flows, and continuity. Expansion is controlled replication, not hopeful duplication. The organization should never discover its operating model by exposing a full client portfolio to an untested structure.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REPLICATION READINESS GATE</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current unit is stable enough that expansion will not remove critical leadership.</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operating standard is documented, teachable, and verified.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 prepared unit leader has been named.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Capacity modeled for field labor, supervision, laundry, quality, technology, finance, and working capital.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source-of-truth and reporting structure can accept the new unit.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Client scope, authority, economics, and dependencies are defined.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Local legal, insurance, employment, tax, licensing, and safety questions routed to qualified guidance.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Launch phases, pilot conditions, stop criteria, and corrective ownership established.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Continuity and backup leadership exist before full volume begins.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CONTROLLED REPLICATION SEQUENCE</w:t>
            </w:r>
          </w:p>
        </w:tc>
      </w:tr>
    </w:tbl>
    <w:p>
      <w:pPr>
        <w:spacing w:after="100" w:before="0" w:line="276"/>
        <w:jc w:val="left"/>
      </w:pPr>
      <w:r>
        <w:rPr>
          <w:rFonts w:ascii="Arial" w:cs="Arial" w:eastAsia="Arial" w:hAnsi="Arial"/>
          <w:b/>
          <w:bCs/>
          <w:i w:val="false"/>
          <w:iCs w:val="false"/>
          <w:color w:val="1F3B57"/>
          <w:sz w:val="18"/>
          <w:szCs w:val="18"/>
        </w:rPr>
        <w:t xml:space="preserve">DEFINE THE UNIT</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PREPARE LEADERSHIP &amp; SHARED SERVICES</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CONFIGURE COMMON SYSTEMS</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PILOT REPRESENTATIVE WORK</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CORRECT BEFORE EXPANSION</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TRANSFER TO STEADY-STATE GOVERNANCE</w:t>
      </w:r>
      <w:r>
        <w:rPr>
          <w:rFonts w:ascii="Arial" w:cs="Arial" w:eastAsia="Arial" w:hAnsi="Arial"/>
          <w:b w:val="false"/>
          <w:bCs w:val="false"/>
          <w:i w:val="false"/>
          <w:iCs w:val="false"/>
          <w:color w:val="2E6E8E"/>
          <w:sz w:val="18"/>
          <w:szCs w:val="18"/>
        </w:rPr>
        <w:t xml:space="preserve"/>
      </w:r>
    </w:p>
    <w:p>
      <w:pPr>
        <w:spacing w:after="100" w:before="0" w:line="276"/>
        <w:jc w:val="left"/>
      </w:pPr>
      <w:r>
        <w:rPr>
          <w:rFonts w:ascii="Arial" w:cs="Arial" w:eastAsia="Arial" w:hAnsi="Arial"/>
          <w:b w:val="false"/>
          <w:bCs w:val="false"/>
          <w:i/>
          <w:iCs/>
          <w:color w:val="777777"/>
          <w:sz w:val="18"/>
          <w:szCs w:val="18"/>
        </w:rPr>
        <w:t xml:space="preserve">Same canonical readiness-gate and pilot discipline from Chapters 5 and 10. Scale changes the size of the decision, not the discipline required to make it safely.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NEW MARKET LAUNCH &amp; MAJOR ACCOUNT INTEGRATION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BBBBB" w:sz="4"/>
              <w:left w:val="single" w:color="BBBBBB" w:sz="4"/>
              <w:bottom w:val="single" w:color="BBBBBB" w:sz="4"/>
              <w:right w:val="single" w:color="BBBBBB" w:sz="4"/>
            </w:tcBorders>
            <w:shd w:fill="2E6E8E" w:val="clear"/>
            <w:tcMar>
              <w:top w:type="dxa" w:w="60"/>
              <w:left w:type="dxa" w:w="140"/>
              <w:bottom w:type="dxa" w:w="60"/>
              <w:right w:type="dxa" w:w="140"/>
            </w:tcMar>
          </w:tcPr>
          <w:p>
            <w:pPr>
              <w:spacing w:after="0" w:before="0" w:line="276"/>
              <w:jc w:val="left"/>
            </w:pPr>
            <w:r>
              <w:rPr>
                <w:rFonts w:ascii="Arial" w:cs="Arial" w:eastAsia="Arial" w:hAnsi="Arial"/>
                <w:b/>
                <w:bCs/>
                <w:i w:val="false"/>
                <w:iCs w:val="false"/>
                <w:color w:val="FFFFFF"/>
                <w:sz w:val="20"/>
                <w:szCs w:val="20"/>
              </w:rPr>
              <w:t xml:space="preserve">New market launch standard</w:t>
            </w:r>
          </w:p>
        </w:tc>
        <w:tc>
          <w:tcPr>
            <w:tcW w:type="dxa" w:w="4680"/>
            <w:tcBorders>
              <w:top w:val="single" w:color="BBBBBB" w:sz="4"/>
              <w:left w:val="single" w:color="BBBBBB" w:sz="4"/>
              <w:bottom w:val="single" w:color="BBBBBB" w:sz="4"/>
              <w:right w:val="single" w:color="BBBBBB" w:sz="4"/>
            </w:tcBorders>
            <w:shd w:fill="1F3B57" w:val="clear"/>
            <w:tcMar>
              <w:top w:type="dxa" w:w="60"/>
              <w:left w:type="dxa" w:w="140"/>
              <w:bottom w:type="dxa" w:w="60"/>
              <w:right w:type="dxa" w:w="140"/>
            </w:tcMar>
          </w:tcPr>
          <w:p>
            <w:pPr>
              <w:spacing w:after="0" w:before="0" w:line="276"/>
              <w:jc w:val="left"/>
            </w:pPr>
            <w:r>
              <w:rPr>
                <w:rFonts w:ascii="Arial" w:cs="Arial" w:eastAsia="Arial" w:hAnsi="Arial"/>
                <w:b/>
                <w:bCs/>
                <w:i w:val="false"/>
                <w:iCs w:val="false"/>
                <w:color w:val="FFFFFF"/>
                <w:sz w:val="20"/>
                <w:szCs w:val="20"/>
              </w:rPr>
              <w:t xml:space="preserve">Major account integration</w:t>
            </w:r>
          </w:p>
        </w:tc>
      </w:tr>
      <w:tr>
        <w:tc>
          <w:tcPr>
            <w:tcW w:type="dxa" w:w="4680"/>
            <w:tcBorders>
              <w:top w:val="single" w:color="BBBBBB" w:sz="4"/>
              <w:left w:val="single" w:color="BBBBBB" w:sz="4"/>
              <w:bottom w:val="single" w:color="BBBBBB" w:sz="4"/>
              <w:right w:val="single" w:color="BBBBBB" w:sz="4"/>
            </w:tcBorders>
            <w:shd w:fill="FFFFFF" w:val="clear"/>
            <w:tcMar>
              <w:top w:type="dxa" w:w="80"/>
              <w:left w:type="dxa" w:w="140"/>
              <w:bottom w:type="dxa" w:w="80"/>
              <w:right w:type="dxa" w:w="140"/>
            </w:tcMar>
          </w:tcPr>
          <w:p>
            <w:pPr>
              <w:spacing w:after="60" w:before="0" w:line="276"/>
              <w:jc w:val="left"/>
            </w:pPr>
            <w:r>
              <w:rPr>
                <w:rFonts w:ascii="Arial" w:cs="Arial" w:eastAsia="Arial" w:hAnsi="Arial"/>
                <w:b w:val="false"/>
                <w:bCs w:val="false"/>
                <w:i w:val="false"/>
                <w:iCs w:val="false"/>
                <w:color w:val="000000"/>
                <w:sz w:val="19"/>
                <w:szCs w:val="19"/>
              </w:rPr>
              <w:t xml:space="preserve">•  Validate demand, density, seasonality, labor, vendors, travel, local risk</w:t>
            </w:r>
          </w:p>
          <w:p>
            <w:pPr>
              <w:spacing w:after="60" w:before="0" w:line="276"/>
              <w:jc w:val="left"/>
            </w:pPr>
            <w:r>
              <w:rPr>
                <w:rFonts w:ascii="Arial" w:cs="Arial" w:eastAsia="Arial" w:hAnsi="Arial"/>
                <w:b w:val="false"/>
                <w:bCs w:val="false"/>
                <w:i w:val="false"/>
                <w:iCs w:val="false"/>
                <w:color w:val="000000"/>
                <w:sz w:val="19"/>
                <w:szCs w:val="19"/>
              </w:rPr>
              <w:t xml:space="preserve">•  Decide local vs shared capabilities</w:t>
            </w:r>
          </w:p>
          <w:p>
            <w:pPr>
              <w:spacing w:after="60" w:before="0" w:line="276"/>
              <w:jc w:val="left"/>
            </w:pPr>
            <w:r>
              <w:rPr>
                <w:rFonts w:ascii="Arial" w:cs="Arial" w:eastAsia="Arial" w:hAnsi="Arial"/>
                <w:b w:val="false"/>
                <w:bCs w:val="false"/>
                <w:i w:val="false"/>
                <w:iCs w:val="false"/>
                <w:color w:val="000000"/>
                <w:sz w:val="19"/>
                <w:szCs w:val="19"/>
              </w:rPr>
              <w:t xml:space="preserve">•  Appoint a market leader before a large frontline team</w:t>
            </w:r>
          </w:p>
          <w:p>
            <w:pPr>
              <w:spacing w:after="60" w:before="0" w:line="276"/>
              <w:jc w:val="left"/>
            </w:pPr>
            <w:r>
              <w:rPr>
                <w:rFonts w:ascii="Arial" w:cs="Arial" w:eastAsia="Arial" w:hAnsi="Arial"/>
                <w:b w:val="false"/>
                <w:bCs w:val="false"/>
                <w:i w:val="false"/>
                <w:iCs w:val="false"/>
                <w:color w:val="000000"/>
                <w:sz w:val="19"/>
                <w:szCs w:val="19"/>
              </w:rPr>
              <w:t xml:space="preserve">•  Build representative property knowledge; test real windows</w:t>
            </w:r>
          </w:p>
          <w:p>
            <w:pPr>
              <w:spacing w:after="60" w:before="0" w:line="276"/>
              <w:jc w:val="left"/>
            </w:pPr>
            <w:r>
              <w:rPr>
                <w:rFonts w:ascii="Arial" w:cs="Arial" w:eastAsia="Arial" w:hAnsi="Arial"/>
                <w:b w:val="false"/>
                <w:bCs w:val="false"/>
                <w:i w:val="false"/>
                <w:iCs w:val="false"/>
                <w:color w:val="000000"/>
                <w:sz w:val="19"/>
                <w:szCs w:val="19"/>
              </w:rPr>
              <w:t xml:space="preserve">•  Establish backup coverage &amp; emergency relationships</w:t>
            </w:r>
          </w:p>
          <w:p>
            <w:pPr>
              <w:spacing w:after="60" w:before="0" w:line="276"/>
              <w:jc w:val="left"/>
            </w:pPr>
            <w:r>
              <w:rPr>
                <w:rFonts w:ascii="Arial" w:cs="Arial" w:eastAsia="Arial" w:hAnsi="Arial"/>
                <w:b w:val="false"/>
                <w:bCs w:val="false"/>
                <w:i w:val="false"/>
                <w:iCs w:val="false"/>
                <w:color w:val="000000"/>
                <w:sz w:val="19"/>
                <w:szCs w:val="19"/>
              </w:rPr>
              <w:t xml:space="preserve">•  Launch a limited group incl. one difficult scenario; review economics before growth</w:t>
            </w:r>
          </w:p>
        </w:tc>
        <w:tc>
          <w:tcPr>
            <w:tcW w:type="dxa" w:w="4680"/>
            <w:tcBorders>
              <w:top w:val="single" w:color="BBBBBB" w:sz="4"/>
              <w:left w:val="single" w:color="BBBBBB" w:sz="4"/>
              <w:bottom w:val="single" w:color="BBBBBB" w:sz="4"/>
              <w:right w:val="single" w:color="BBBBBB" w:sz="4"/>
            </w:tcBorders>
            <w:shd w:fill="FFFFFF" w:val="clear"/>
            <w:tcMar>
              <w:top w:type="dxa" w:w="80"/>
              <w:left w:type="dxa" w:w="140"/>
              <w:bottom w:type="dxa" w:w="80"/>
              <w:right w:type="dxa" w:w="140"/>
            </w:tcMar>
          </w:tcPr>
          <w:p>
            <w:pPr>
              <w:spacing w:after="60" w:before="0" w:line="276"/>
              <w:jc w:val="left"/>
            </w:pPr>
            <w:r>
              <w:rPr>
                <w:rFonts w:ascii="Arial" w:cs="Arial" w:eastAsia="Arial" w:hAnsi="Arial"/>
                <w:b w:val="false"/>
                <w:bCs w:val="false"/>
                <w:i w:val="false"/>
                <w:iCs w:val="false"/>
                <w:color w:val="000000"/>
                <w:sz w:val="19"/>
                <w:szCs w:val="19"/>
              </w:rPr>
              <w:t xml:space="preserve">•  Account leader owns relationship, economics, scope, governance</w:t>
            </w:r>
          </w:p>
          <w:p>
            <w:pPr>
              <w:spacing w:after="60" w:before="0" w:line="276"/>
              <w:jc w:val="left"/>
            </w:pPr>
            <w:r>
              <w:rPr>
                <w:rFonts w:ascii="Arial" w:cs="Arial" w:eastAsia="Arial" w:hAnsi="Arial"/>
                <w:b w:val="false"/>
                <w:bCs w:val="false"/>
                <w:i w:val="false"/>
                <w:iCs w:val="false"/>
                <w:color w:val="000000"/>
                <w:sz w:val="19"/>
                <w:szCs w:val="19"/>
              </w:rPr>
              <w:t xml:space="preserve">•  Market leaders own local readiness, people, execution</w:t>
            </w:r>
          </w:p>
          <w:p>
            <w:pPr>
              <w:spacing w:after="60" w:before="0" w:line="276"/>
              <w:jc w:val="left"/>
            </w:pPr>
            <w:r>
              <w:rPr>
                <w:rFonts w:ascii="Arial" w:cs="Arial" w:eastAsia="Arial" w:hAnsi="Arial"/>
                <w:b w:val="false"/>
                <w:bCs w:val="false"/>
                <w:i w:val="false"/>
                <w:iCs w:val="false"/>
                <w:color w:val="000000"/>
                <w:sz w:val="19"/>
                <w:szCs w:val="19"/>
              </w:rPr>
              <w:t xml:space="preserve">•  Shared services support both</w:t>
            </w:r>
          </w:p>
          <w:p>
            <w:pPr>
              <w:spacing w:after="60" w:before="0" w:line="276"/>
              <w:jc w:val="left"/>
            </w:pPr>
            <w:r>
              <w:rPr>
                <w:rFonts w:ascii="Arial" w:cs="Arial" w:eastAsia="Arial" w:hAnsi="Arial"/>
                <w:b w:val="false"/>
                <w:bCs w:val="false"/>
                <w:i w:val="false"/>
                <w:iCs w:val="false"/>
                <w:color w:val="000000"/>
                <w:sz w:val="19"/>
                <w:szCs w:val="19"/>
              </w:rPr>
              <w:t xml:space="preserve">•  Decision rights stop the account leader from promising work markets can't support</w:t>
            </w:r>
          </w:p>
          <w:p>
            <w:pPr>
              <w:spacing w:after="60" w:before="0" w:line="276"/>
              <w:jc w:val="left"/>
            </w:pPr>
            <w:r>
              <w:rPr>
                <w:rFonts w:ascii="Arial" w:cs="Arial" w:eastAsia="Arial" w:hAnsi="Arial"/>
                <w:b w:val="false"/>
                <w:bCs w:val="false"/>
                <w:i w:val="false"/>
                <w:iCs w:val="false"/>
                <w:color w:val="000000"/>
                <w:sz w:val="19"/>
                <w:szCs w:val="19"/>
              </w:rPr>
              <w:t xml:space="preserve">•  …and stop markets from changing client commitments independently</w:t>
            </w:r>
          </w:p>
          <w:p>
            <w:pPr>
              <w:spacing w:after="60" w:before="0" w:line="276"/>
              <w:jc w:val="left"/>
            </w:pPr>
            <w:r>
              <w:rPr>
                <w:rFonts w:ascii="Arial" w:cs="Arial" w:eastAsia="Arial" w:hAnsi="Arial"/>
                <w:b w:val="false"/>
                <w:bCs w:val="false"/>
                <w:i w:val="false"/>
                <w:iCs w:val="false"/>
                <w:color w:val="000000"/>
                <w:sz w:val="19"/>
                <w:szCs w:val="19"/>
              </w:rPr>
              <w:t xml:space="preserve">•  Matrix of account ownership + local execution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4 — STOP, HOLD, PHASE, OR REVERSE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600"/>
        <w:gridCol w:w="306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Action</w:t>
            </w:r>
          </w:p>
        </w:tc>
        <w:tc>
          <w:tcPr>
            <w:tcW w:type="dxa" w:w="46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When it is appropriate</w:t>
            </w:r>
          </w:p>
        </w:tc>
        <w:tc>
          <w:tcPr>
            <w:tcW w:type="dxa" w:w="30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 readiness gate is meaningless if every concern is "solve after launch")</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Stop</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Safety, legality, ethics, or material financial exposure is unacceptable.</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Hold</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Required leadership, property info, systems, access, or qualified capacity is incomplete.</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Phase</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Model is sound but full volume would exceed verified capacity.</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Reverse / exit</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Unit cannot achieve sustainable quality, economics, culture, or client alignment after corrective effort.</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&amp; CONTRACTUAL CHECKPOINT</w:t>
            </w:r>
          </w:p>
          <w:p>
            <w:pPr>
              <w:spacing w:after="40" w:before="0" w:line="276"/>
              <w:jc w:val="left"/>
            </w:pPr>
            <w:r>
              <w:rPr>
                <w:rFonts w:ascii="Arial" w:cs="Arial" w:eastAsia="Arial" w:hAnsi="Arial"/>
                <w:b w:val="false"/>
                <w:bCs w:val="false"/>
                <w:i w:val="false"/>
                <w:iCs w:val="false"/>
                <w:color w:val="000000"/>
                <w:sz w:val="19"/>
                <w:szCs w:val="19"/>
              </w:rPr>
              <w:t xml:space="preserve">Acquisition or team integration involves people, pay practices, qualifications, safety, records, technology, pricing, contracts, liabilities, and client commitments. New-market launch raises local legal, insurance, employment, tax, licensing, and safety questions. Route all of these to qualified legal, tax, employment, insurance, and financial guidance before committing. This tool identifies operating steps, not legal ones.</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Replication, Market Launch, Integration &amp; Stop/Hold/Reverse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12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the gate and sequence applied to North Shore's proposed second market 80 miles away.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REPLICATION READINESS GATE</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current unit is stable enough that expansion will not remove critical leadership.</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operating standard is documented, teachable, and verified.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 prepared unit leader has been named.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Capacity modeled for field labor, supervision, laundry, quality, technology, finance, and working capital.</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The source-of-truth and reporting structure can accept the new unit.</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Client scope, authority, economics, and dependencies are defined.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Local legal, insurance, employment, tax, licensing, and safety questions routed to qualified guidance.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Launch phases, pilot conditions, stop criteria, and corrective ownership established.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Continuity and backup leadership exist before full volume begins.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CONTROLLED REPLICATION SEQUENCE</w:t>
            </w:r>
          </w:p>
        </w:tc>
      </w:tr>
    </w:tbl>
    <w:p>
      <w:pPr>
        <w:spacing w:after="100" w:before="0" w:line="276"/>
        <w:jc w:val="left"/>
      </w:pPr>
      <w:r>
        <w:rPr>
          <w:rFonts w:ascii="Arial" w:cs="Arial" w:eastAsia="Arial" w:hAnsi="Arial"/>
          <w:b/>
          <w:bCs/>
          <w:i w:val="false"/>
          <w:iCs w:val="false"/>
          <w:color w:val="1F3B57"/>
          <w:sz w:val="18"/>
          <w:szCs w:val="18"/>
        </w:rPr>
        <w:t xml:space="preserve">DEFINE THE UNIT</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PREPARE LEADERSHIP &amp; SHARED SERVICES</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CONFIGURE COMMON SYSTEMS</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PILOT REPRESENTATIVE WORK</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CORRECT BEFORE EXPANSION</w:t>
      </w:r>
      <w:r>
        <w:rPr>
          <w:rFonts w:ascii="Arial" w:cs="Arial" w:eastAsia="Arial" w:hAnsi="Arial"/>
          <w:b w:val="false"/>
          <w:bCs w:val="false"/>
          <w:i w:val="false"/>
          <w:iCs w:val="false"/>
          <w:color w:val="2E6E8E"/>
          <w:sz w:val="18"/>
          <w:szCs w:val="18"/>
        </w:rPr>
        <w:t xml:space="preserve">   →   </w:t>
      </w:r>
      <w:r>
        <w:rPr>
          <w:rFonts w:ascii="Arial" w:cs="Arial" w:eastAsia="Arial" w:hAnsi="Arial"/>
          <w:b/>
          <w:bCs/>
          <w:i w:val="false"/>
          <w:iCs w:val="false"/>
          <w:color w:val="1F3B57"/>
          <w:sz w:val="18"/>
          <w:szCs w:val="18"/>
        </w:rPr>
        <w:t xml:space="preserve">TRANSFER TO STEADY-STATE GOVERNANCE</w:t>
      </w:r>
      <w:r>
        <w:rPr>
          <w:rFonts w:ascii="Arial" w:cs="Arial" w:eastAsia="Arial" w:hAnsi="Arial"/>
          <w:b w:val="false"/>
          <w:bCs w:val="false"/>
          <w:i w:val="false"/>
          <w:iCs w:val="false"/>
          <w:color w:val="2E6E8E"/>
          <w:sz w:val="18"/>
          <w:szCs w:val="18"/>
        </w:rPr>
        <w:t xml:space="preserve"/>
      </w:r>
    </w:p>
    <w:p>
      <w:pPr>
        <w:spacing w:after="100" w:before="0" w:line="276"/>
        <w:jc w:val="left"/>
      </w:pPr>
      <w:r>
        <w:rPr>
          <w:rFonts w:ascii="Arial" w:cs="Arial" w:eastAsia="Arial" w:hAnsi="Arial"/>
          <w:b w:val="false"/>
          <w:bCs w:val="false"/>
          <w:i/>
          <w:iCs/>
          <w:color w:val="777777"/>
          <w:sz w:val="18"/>
          <w:szCs w:val="18"/>
        </w:rPr>
        <w:t xml:space="preserve">Same canonical readiness-gate and pilot discipline from Chapters 5 and 10. Scale changes the size of the decision, not the discipline required to make it safely.</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NEW MARKET LAUNCH &amp; MAJOR ACCOUNT INTEGRATION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BBBBB" w:sz="4"/>
              <w:left w:val="single" w:color="BBBBBB" w:sz="4"/>
              <w:bottom w:val="single" w:color="BBBBBB" w:sz="4"/>
              <w:right w:val="single" w:color="BBBBBB" w:sz="4"/>
            </w:tcBorders>
            <w:shd w:fill="2E6E8E" w:val="clear"/>
            <w:tcMar>
              <w:top w:type="dxa" w:w="60"/>
              <w:left w:type="dxa" w:w="140"/>
              <w:bottom w:type="dxa" w:w="60"/>
              <w:right w:type="dxa" w:w="140"/>
            </w:tcMar>
          </w:tcPr>
          <w:p>
            <w:pPr>
              <w:spacing w:after="0" w:before="0" w:line="276"/>
              <w:jc w:val="left"/>
            </w:pPr>
            <w:r>
              <w:rPr>
                <w:rFonts w:ascii="Arial" w:cs="Arial" w:eastAsia="Arial" w:hAnsi="Arial"/>
                <w:b/>
                <w:bCs/>
                <w:i w:val="false"/>
                <w:iCs w:val="false"/>
                <w:color w:val="FFFFFF"/>
                <w:sz w:val="20"/>
                <w:szCs w:val="20"/>
              </w:rPr>
              <w:t xml:space="preserve">New market launch standard</w:t>
            </w:r>
          </w:p>
        </w:tc>
        <w:tc>
          <w:tcPr>
            <w:tcW w:type="dxa" w:w="4680"/>
            <w:tcBorders>
              <w:top w:val="single" w:color="BBBBBB" w:sz="4"/>
              <w:left w:val="single" w:color="BBBBBB" w:sz="4"/>
              <w:bottom w:val="single" w:color="BBBBBB" w:sz="4"/>
              <w:right w:val="single" w:color="BBBBBB" w:sz="4"/>
            </w:tcBorders>
            <w:shd w:fill="1F3B57" w:val="clear"/>
            <w:tcMar>
              <w:top w:type="dxa" w:w="60"/>
              <w:left w:type="dxa" w:w="140"/>
              <w:bottom w:type="dxa" w:w="60"/>
              <w:right w:type="dxa" w:w="140"/>
            </w:tcMar>
          </w:tcPr>
          <w:p>
            <w:pPr>
              <w:spacing w:after="0" w:before="0" w:line="276"/>
              <w:jc w:val="left"/>
            </w:pPr>
            <w:r>
              <w:rPr>
                <w:rFonts w:ascii="Arial" w:cs="Arial" w:eastAsia="Arial" w:hAnsi="Arial"/>
                <w:b/>
                <w:bCs/>
                <w:i w:val="false"/>
                <w:iCs w:val="false"/>
                <w:color w:val="FFFFFF"/>
                <w:sz w:val="20"/>
                <w:szCs w:val="20"/>
              </w:rPr>
              <w:t xml:space="preserve">Major account integration</w:t>
            </w:r>
          </w:p>
        </w:tc>
      </w:tr>
      <w:tr>
        <w:tc>
          <w:tcPr>
            <w:tcW w:type="dxa" w:w="4680"/>
            <w:tcBorders>
              <w:top w:val="single" w:color="BBBBBB" w:sz="4"/>
              <w:left w:val="single" w:color="BBBBBB" w:sz="4"/>
              <w:bottom w:val="single" w:color="BBBBBB" w:sz="4"/>
              <w:right w:val="single" w:color="BBBBBB" w:sz="4"/>
            </w:tcBorders>
            <w:shd w:fill="FFFFFF" w:val="clear"/>
            <w:tcMar>
              <w:top w:type="dxa" w:w="80"/>
              <w:left w:type="dxa" w:w="140"/>
              <w:bottom w:type="dxa" w:w="80"/>
              <w:right w:type="dxa" w:w="140"/>
            </w:tcMar>
          </w:tcPr>
          <w:p>
            <w:pPr>
              <w:spacing w:after="60" w:before="0" w:line="276"/>
              <w:jc w:val="left"/>
            </w:pPr>
            <w:r>
              <w:rPr>
                <w:rFonts w:ascii="Arial" w:cs="Arial" w:eastAsia="Arial" w:hAnsi="Arial"/>
                <w:b w:val="false"/>
                <w:bCs w:val="false"/>
                <w:i w:val="false"/>
                <w:iCs w:val="false"/>
                <w:color w:val="000000"/>
                <w:sz w:val="19"/>
                <w:szCs w:val="19"/>
              </w:rPr>
              <w:t xml:space="preserve">•  Validate demand, density, seasonality, labor, vendors, travel, local risk</w:t>
            </w:r>
          </w:p>
          <w:p>
            <w:pPr>
              <w:spacing w:after="60" w:before="0" w:line="276"/>
              <w:jc w:val="left"/>
            </w:pPr>
            <w:r>
              <w:rPr>
                <w:rFonts w:ascii="Arial" w:cs="Arial" w:eastAsia="Arial" w:hAnsi="Arial"/>
                <w:b w:val="false"/>
                <w:bCs w:val="false"/>
                <w:i w:val="false"/>
                <w:iCs w:val="false"/>
                <w:color w:val="000000"/>
                <w:sz w:val="19"/>
                <w:szCs w:val="19"/>
              </w:rPr>
              <w:t xml:space="preserve">•  Decide local vs shared capabilities</w:t>
            </w:r>
          </w:p>
          <w:p>
            <w:pPr>
              <w:spacing w:after="60" w:before="0" w:line="276"/>
              <w:jc w:val="left"/>
            </w:pPr>
            <w:r>
              <w:rPr>
                <w:rFonts w:ascii="Arial" w:cs="Arial" w:eastAsia="Arial" w:hAnsi="Arial"/>
                <w:b w:val="false"/>
                <w:bCs w:val="false"/>
                <w:i w:val="false"/>
                <w:iCs w:val="false"/>
                <w:color w:val="000000"/>
                <w:sz w:val="19"/>
                <w:szCs w:val="19"/>
              </w:rPr>
              <w:t xml:space="preserve">•  Appoint a market leader before a large frontline team</w:t>
            </w:r>
          </w:p>
          <w:p>
            <w:pPr>
              <w:spacing w:after="60" w:before="0" w:line="276"/>
              <w:jc w:val="left"/>
            </w:pPr>
            <w:r>
              <w:rPr>
                <w:rFonts w:ascii="Arial" w:cs="Arial" w:eastAsia="Arial" w:hAnsi="Arial"/>
                <w:b w:val="false"/>
                <w:bCs w:val="false"/>
                <w:i w:val="false"/>
                <w:iCs w:val="false"/>
                <w:color w:val="000000"/>
                <w:sz w:val="19"/>
                <w:szCs w:val="19"/>
              </w:rPr>
              <w:t xml:space="preserve">•  Build representative property knowledge; test real windows</w:t>
            </w:r>
          </w:p>
          <w:p>
            <w:pPr>
              <w:spacing w:after="60" w:before="0" w:line="276"/>
              <w:jc w:val="left"/>
            </w:pPr>
            <w:r>
              <w:rPr>
                <w:rFonts w:ascii="Arial" w:cs="Arial" w:eastAsia="Arial" w:hAnsi="Arial"/>
                <w:b w:val="false"/>
                <w:bCs w:val="false"/>
                <w:i w:val="false"/>
                <w:iCs w:val="false"/>
                <w:color w:val="000000"/>
                <w:sz w:val="19"/>
                <w:szCs w:val="19"/>
              </w:rPr>
              <w:t xml:space="preserve">•  Establish backup coverage &amp; emergency relationships</w:t>
            </w:r>
          </w:p>
          <w:p>
            <w:pPr>
              <w:spacing w:after="60" w:before="0" w:line="276"/>
              <w:jc w:val="left"/>
            </w:pPr>
            <w:r>
              <w:rPr>
                <w:rFonts w:ascii="Arial" w:cs="Arial" w:eastAsia="Arial" w:hAnsi="Arial"/>
                <w:b w:val="false"/>
                <w:bCs w:val="false"/>
                <w:i w:val="false"/>
                <w:iCs w:val="false"/>
                <w:color w:val="000000"/>
                <w:sz w:val="19"/>
                <w:szCs w:val="19"/>
              </w:rPr>
              <w:t xml:space="preserve">•  Launch a limited group incl. one difficult scenario; review economics before growth</w:t>
            </w:r>
          </w:p>
        </w:tc>
        <w:tc>
          <w:tcPr>
            <w:tcW w:type="dxa" w:w="4680"/>
            <w:tcBorders>
              <w:top w:val="single" w:color="BBBBBB" w:sz="4"/>
              <w:left w:val="single" w:color="BBBBBB" w:sz="4"/>
              <w:bottom w:val="single" w:color="BBBBBB" w:sz="4"/>
              <w:right w:val="single" w:color="BBBBBB" w:sz="4"/>
            </w:tcBorders>
            <w:shd w:fill="FFFFFF" w:val="clear"/>
            <w:tcMar>
              <w:top w:type="dxa" w:w="80"/>
              <w:left w:type="dxa" w:w="140"/>
              <w:bottom w:type="dxa" w:w="80"/>
              <w:right w:type="dxa" w:w="140"/>
            </w:tcMar>
          </w:tcPr>
          <w:p>
            <w:pPr>
              <w:spacing w:after="60" w:before="0" w:line="276"/>
              <w:jc w:val="left"/>
            </w:pPr>
            <w:r>
              <w:rPr>
                <w:rFonts w:ascii="Arial" w:cs="Arial" w:eastAsia="Arial" w:hAnsi="Arial"/>
                <w:b w:val="false"/>
                <w:bCs w:val="false"/>
                <w:i w:val="false"/>
                <w:iCs w:val="false"/>
                <w:color w:val="000000"/>
                <w:sz w:val="19"/>
                <w:szCs w:val="19"/>
              </w:rPr>
              <w:t xml:space="preserve">•  Account leader owns relationship, economics, scope, governance</w:t>
            </w:r>
          </w:p>
          <w:p>
            <w:pPr>
              <w:spacing w:after="60" w:before="0" w:line="276"/>
              <w:jc w:val="left"/>
            </w:pPr>
            <w:r>
              <w:rPr>
                <w:rFonts w:ascii="Arial" w:cs="Arial" w:eastAsia="Arial" w:hAnsi="Arial"/>
                <w:b w:val="false"/>
                <w:bCs w:val="false"/>
                <w:i w:val="false"/>
                <w:iCs w:val="false"/>
                <w:color w:val="000000"/>
                <w:sz w:val="19"/>
                <w:szCs w:val="19"/>
              </w:rPr>
              <w:t xml:space="preserve">•  Market leaders own local readiness, people, execution</w:t>
            </w:r>
          </w:p>
          <w:p>
            <w:pPr>
              <w:spacing w:after="60" w:before="0" w:line="276"/>
              <w:jc w:val="left"/>
            </w:pPr>
            <w:r>
              <w:rPr>
                <w:rFonts w:ascii="Arial" w:cs="Arial" w:eastAsia="Arial" w:hAnsi="Arial"/>
                <w:b w:val="false"/>
                <w:bCs w:val="false"/>
                <w:i w:val="false"/>
                <w:iCs w:val="false"/>
                <w:color w:val="000000"/>
                <w:sz w:val="19"/>
                <w:szCs w:val="19"/>
              </w:rPr>
              <w:t xml:space="preserve">•  Shared services support both</w:t>
            </w:r>
          </w:p>
          <w:p>
            <w:pPr>
              <w:spacing w:after="60" w:before="0" w:line="276"/>
              <w:jc w:val="left"/>
            </w:pPr>
            <w:r>
              <w:rPr>
                <w:rFonts w:ascii="Arial" w:cs="Arial" w:eastAsia="Arial" w:hAnsi="Arial"/>
                <w:b w:val="false"/>
                <w:bCs w:val="false"/>
                <w:i w:val="false"/>
                <w:iCs w:val="false"/>
                <w:color w:val="000000"/>
                <w:sz w:val="19"/>
                <w:szCs w:val="19"/>
              </w:rPr>
              <w:t xml:space="preserve">•  Decision rights stop the account leader from promising work markets can't support</w:t>
            </w:r>
          </w:p>
          <w:p>
            <w:pPr>
              <w:spacing w:after="60" w:before="0" w:line="276"/>
              <w:jc w:val="left"/>
            </w:pPr>
            <w:r>
              <w:rPr>
                <w:rFonts w:ascii="Arial" w:cs="Arial" w:eastAsia="Arial" w:hAnsi="Arial"/>
                <w:b w:val="false"/>
                <w:bCs w:val="false"/>
                <w:i w:val="false"/>
                <w:iCs w:val="false"/>
                <w:color w:val="000000"/>
                <w:sz w:val="19"/>
                <w:szCs w:val="19"/>
              </w:rPr>
              <w:t xml:space="preserve">•  …and stop markets from changing client commitments independently</w:t>
            </w:r>
          </w:p>
          <w:p>
            <w:pPr>
              <w:spacing w:after="60" w:before="0" w:line="276"/>
              <w:jc w:val="left"/>
            </w:pPr>
            <w:r>
              <w:rPr>
                <w:rFonts w:ascii="Arial" w:cs="Arial" w:eastAsia="Arial" w:hAnsi="Arial"/>
                <w:b w:val="false"/>
                <w:bCs w:val="false"/>
                <w:i w:val="false"/>
                <w:iCs w:val="false"/>
                <w:color w:val="000000"/>
                <w:sz w:val="19"/>
                <w:szCs w:val="19"/>
              </w:rPr>
              <w:t xml:space="preserve">•  Matrix of account ownership + local execution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4 — STOP, HOLD, PHASE, OR REVERSE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600"/>
        <w:gridCol w:w="3060"/>
      </w:tblGrid>
      <w:tr>
        <w:trPr>
          <w:tblHeader/>
        </w:trPr>
        <w:tc>
          <w:tcPr>
            <w:tcW w:type="dxa" w:w="17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Action</w:t>
            </w:r>
          </w:p>
        </w:tc>
        <w:tc>
          <w:tcPr>
            <w:tcW w:type="dxa" w:w="46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When it is appropriate</w:t>
            </w:r>
          </w:p>
        </w:tc>
        <w:tc>
          <w:tcPr>
            <w:tcW w:type="dxa" w:w="30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 readiness gate is meaningless if every concern is "solve after launch")</w:t>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Stop</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Safety, legality, ethics, or material financial exposure is unacceptable.</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Hold</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Required leadership, property info, systems, access, or qualified capacity is incomplete.</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Phase</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Model is sound but full volume would exceed verified capacity.</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7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Reverse / exit</w:t>
            </w:r>
          </w:p>
        </w:tc>
        <w:tc>
          <w:tcPr>
            <w:tcW w:type="dxa" w:w="46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Unit cannot achieve sustainable quality, economics, culture, or client alignment after corrective effort.</w:t>
            </w:r>
          </w:p>
        </w:tc>
        <w:tc>
          <w:tcPr>
            <w:tcW w:type="dxa" w:w="3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BE4E4"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9C2B2B"/>
                <w:sz w:val="18"/>
                <w:szCs w:val="18"/>
              </w:rPr>
              <w:t xml:space="preserve">⚖  LEGAL &amp; CONTRACTUAL CHECKPOINT</w:t>
            </w:r>
          </w:p>
          <w:p>
            <w:pPr>
              <w:spacing w:after="40" w:before="0" w:line="276"/>
              <w:jc w:val="left"/>
            </w:pPr>
            <w:r>
              <w:rPr>
                <w:rFonts w:ascii="Arial" w:cs="Arial" w:eastAsia="Arial" w:hAnsi="Arial"/>
                <w:b w:val="false"/>
                <w:bCs w:val="false"/>
                <w:i w:val="false"/>
                <w:iCs w:val="false"/>
                <w:color w:val="000000"/>
                <w:sz w:val="19"/>
                <w:szCs w:val="19"/>
              </w:rPr>
              <w:t xml:space="preserve">Acquisition or team integration involves people, pay practices, qualifications, safety, records, technology, pricing, contracts, liabilities, and client commitments. New-market launch raises local legal, insurance, employment, tax, licensing, and safety questions. Route all of these to qualified legal, tax, employment, insurance, and financial guidance before committing. This tool identifies operating steps, not legal ones.</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2026-07-31T15:48:04.826Z</dcterms:created>
  <dcterms:modified xsi:type="dcterms:W3CDTF">2026-07-31T15:48:04.826Z</dcterms:modified>
</cp:coreProperties>
</file>

<file path=docProps/custom.xml><?xml version="1.0" encoding="utf-8"?>
<Properties xmlns="http://schemas.openxmlformats.org/officeDocument/2006/custom-properties" xmlns:vt="http://schemas.openxmlformats.org/officeDocument/2006/docPropsVTypes"/>
</file>