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1F3B5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7"/>
                <w:szCs w:val="27"/>
              </w:rPr>
              <w:t xml:space="preserve">Three Levels of Control &amp; Cross-Unit Escalation</w:t>
            </w:r>
          </w:p>
        </w:tc>
      </w:tr>
      <w:tr>
        <w:tc>
          <w:tcPr>
            <w:tcW w:type="dxa" w:w="9360"/>
            <w:shd w:fill="2E6E8E" w:val="clear"/>
            <w:tcMar>
              <w:top w:type="dxa" w:w="80"/>
              <w:left w:type="dxa" w:w="180"/>
              <w:bottom w:type="dxa" w:w="8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FFFFFF"/>
                <w:sz w:val="18"/>
                <w:szCs w:val="18"/>
              </w:rPr>
              <w:t xml:space="preserve">The STR Cleaning Blueprint™  ·  Chapter 12  ·  Operations Vault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p>
      <w:pPr>
        <w:spacing w:after="12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21"/>
          <w:szCs w:val="21"/>
        </w:rPr>
        <w:t xml:space="preserve">Purpose.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>A professional management operating system directs attention to the few conditions that require coordination, decision, learning, or support — not a collection of meetings and reports. Three levels of control turn many units into one visible organization, and clear escalation moves a decision to the level that can resolve its consequence.</w:t>
      </w:r>
    </w:p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PART 1 — THREE LEVELS OF CONTROL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1700"/>
        <w:gridCol w:w="3200"/>
        <w:gridCol w:w="2560"/>
      </w:tblGrid>
      <w:tr>
        <w:trPr>
          <w:tblHeader/>
        </w:trPr>
        <w:tc>
          <w:tcPr>
            <w:tcW w:type="dxa" w:w="1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5"/>
                <w:szCs w:val="15"/>
              </w:rPr>
              <w:t xml:space="preserve">Level</w:t>
            </w:r>
          </w:p>
        </w:tc>
        <w:tc>
          <w:tcPr>
            <w:tcW w:type="dxa" w:w="17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5"/>
                <w:szCs w:val="15"/>
              </w:rPr>
              <w:t xml:space="preserve">Cadence</w:t>
            </w:r>
          </w:p>
        </w:tc>
        <w:tc>
          <w:tcPr>
            <w:tcW w:type="dxa" w:w="3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5"/>
                <w:szCs w:val="15"/>
              </w:rPr>
              <w:t xml:space="preserve">Primary focus</w:t>
            </w:r>
          </w:p>
        </w:tc>
        <w:tc>
          <w:tcPr>
            <w:tcW w:type="dxa" w:w="25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5"/>
                <w:szCs w:val="15"/>
              </w:rPr>
              <w:t xml:space="preserve">Output</w:t>
            </w:r>
          </w:p>
        </w:tc>
      </w:tr>
      <w:tr>
        <w:tc>
          <w:tcPr>
            <w:tcW w:type="dxa" w:w="1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5"/>
                <w:szCs w:val="15"/>
              </w:rPr>
              <w:t xml:space="preserve">Operating control</w:t>
            </w:r>
          </w:p>
        </w:tc>
        <w:tc>
          <w:tcPr>
            <w:tcW w:type="dxa" w:w="17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Daily</w:t>
            </w:r>
          </w:p>
        </w:tc>
        <w:tc>
          <w:tcPr>
            <w:tcW w:type="dxa" w:w="3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Readiness, capacity, exceptions, guest deadlines</w:t>
            </w:r>
          </w:p>
        </w:tc>
        <w:tc>
          <w:tcPr>
            <w:tcW w:type="dxa" w:w="25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Owned actions &amp; updated operating picture</w:t>
            </w:r>
          </w:p>
        </w:tc>
      </w:tr>
      <w:tr>
        <w:tc>
          <w:tcPr>
            <w:tcW w:type="dxa" w:w="1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5"/>
                <w:szCs w:val="15"/>
              </w:rPr>
              <w:t xml:space="preserve">Management control</w:t>
            </w:r>
          </w:p>
        </w:tc>
        <w:tc>
          <w:tcPr>
            <w:tcW w:type="dxa" w:w="17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Weekly</w:t>
            </w:r>
          </w:p>
        </w:tc>
        <w:tc>
          <w:tcPr>
            <w:tcW w:type="dxa" w:w="3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Trends, unresolved causes, staffing, quality, account risk</w:t>
            </w:r>
          </w:p>
        </w:tc>
        <w:tc>
          <w:tcPr>
            <w:tcW w:type="dxa" w:w="25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Corrective priorities &amp; resource decisions</w:t>
            </w:r>
          </w:p>
        </w:tc>
      </w:tr>
      <w:tr>
        <w:tc>
          <w:tcPr>
            <w:tcW w:type="dxa" w:w="1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5"/>
                <w:szCs w:val="15"/>
              </w:rPr>
              <w:t xml:space="preserve">Strategic control</w:t>
            </w:r>
          </w:p>
        </w:tc>
        <w:tc>
          <w:tcPr>
            <w:tcW w:type="dxa" w:w="17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Monthly / quarterly</w:t>
            </w:r>
          </w:p>
        </w:tc>
        <w:tc>
          <w:tcPr>
            <w:tcW w:type="dxa" w:w="3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Economics, concentration, market health, leadership, capital, growth</w:t>
            </w:r>
          </w:p>
        </w:tc>
        <w:tc>
          <w:tcPr>
            <w:tcW w:type="dxa" w:w="25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Direction, investment, expansion, correction, or exit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PART 2 — MEETINGS THAT PRODUCE CONTROL</w:t>
            </w:r>
          </w:p>
        </w:tc>
      </w:tr>
    </w:tbl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Begin with prior commitments and unresolved actions.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Review exceptions and trends before averages.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Separate information sharing from decisions.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Name one owner and deadline for every action.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Record decisions in the authoritative management record.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End by identifying what changed in the system, not merely what was discussed.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Remove agenda items that do not regularly produce decisions, coordination, or learning.</w:t>
      </w:r>
    </w:p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PART 3 — CROSS-UNIT ESCALATION MATRIX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00"/>
        <w:gridCol w:w="4600"/>
        <w:gridCol w:w="3060"/>
      </w:tblGrid>
      <w:tr>
        <w:trPr>
          <w:tblHeader/>
        </w:trPr>
        <w:tc>
          <w:tcPr>
            <w:tcW w:type="dxa" w:w="17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Level</w:t>
            </w:r>
          </w:p>
        </w:tc>
        <w:tc>
          <w:tcPr>
            <w:tcW w:type="dxa" w:w="4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When it applies</w:t>
            </w:r>
          </w:p>
        </w:tc>
        <w:tc>
          <w:tcPr>
            <w:tcW w:type="dxa" w:w="3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Receives / resolves</w:t>
            </w:r>
          </w:p>
        </w:tc>
      </w:tr>
      <w:tr>
        <w:tc>
          <w:tcPr>
            <w:tcW w:type="dxa" w:w="17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Local</w:t>
            </w:r>
          </w:p>
        </w:tc>
        <w:tc>
          <w:tcPr>
            <w:tcW w:type="dxa" w:w="4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Contained within one property, crew, or routine unit authority.</w:t>
            </w:r>
          </w:p>
        </w:tc>
        <w:tc>
          <w:tcPr>
            <w:tcW w:type="dxa" w:w="3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Crew leader / supervisor</w:t>
            </w:r>
          </w:p>
        </w:tc>
      </w:tr>
      <w:tr>
        <w:tc>
          <w:tcPr>
            <w:tcW w:type="dxa" w:w="17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Unit</w:t>
            </w:r>
          </w:p>
        </w:tc>
        <w:tc>
          <w:tcPr>
            <w:tcW w:type="dxa" w:w="4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Affects several jobs, a significant client commitment, staffing, or unit budget.</w:t>
            </w:r>
          </w:p>
        </w:tc>
        <w:tc>
          <w:tcPr>
            <w:tcW w:type="dxa" w:w="3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Market / account leader</w:t>
            </w:r>
          </w:p>
        </w:tc>
      </w:tr>
      <w:tr>
        <w:tc>
          <w:tcPr>
            <w:tcW w:type="dxa" w:w="17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Cross-unit</w:t>
            </w:r>
          </w:p>
        </w:tc>
        <w:tc>
          <w:tcPr>
            <w:tcW w:type="dxa" w:w="4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Requires shared resources or creates consequences for another market/function.</w:t>
            </w:r>
          </w:p>
        </w:tc>
        <w:tc>
          <w:tcPr>
            <w:tcW w:type="dxa" w:w="3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Shared service + affected leaders</w:t>
            </w:r>
          </w:p>
        </w:tc>
      </w:tr>
      <w:tr>
        <w:tc>
          <w:tcPr>
            <w:tcW w:type="dxa" w:w="17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Enterprise</w:t>
            </w:r>
          </w:p>
        </w:tc>
        <w:tc>
          <w:tcPr>
            <w:tcW w:type="dxa" w:w="4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Threatens safety, brand, material finance, legal, strategic client, or continuity.</w:t>
            </w:r>
          </w:p>
        </w:tc>
        <w:tc>
          <w:tcPr>
            <w:tcW w:type="dxa" w:w="3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Enterprise leadership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6D5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8"/>
                <w:szCs w:val="18"/>
              </w:rPr>
              <w:t xml:space="preserve">ESCALATION RULE</w:t>
            </w:r>
          </w:p>
          <w:p>
            <w:pPr>
              <w:spacing w:after="4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The person who escalates retains responsibility for information and follow-through until the receiving leader explicitly accepts ownership. Escalation moves a decision to the level that can resolve its consequence — it is not a reflex for transferring ownership upward.</w:t>
            </w:r>
          </w:p>
        </w:tc>
      </w:tr>
    </w:tbl>
    <w:p>
      <w:pPr>
        <w:spacing w:after="120" w:before="12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6"/>
          <w:szCs w:val="16"/>
        </w:rPr>
        <w:t xml:space="preserve">A planning instrument, not a guarantee of business success. Vendor-neutral — usable with any tools, team structure, or software.  ·  The STR Cleaning Blueprint™</w:t>
      </w:r>
    </w:p>
    <w:p>
      <w:pPr>
        <w:sectPr>
          <w:pgSz w:w="12240" w:h="15840" w:orient="portrait"/>
          <w:pgMar w:top="1080" w:right="1440" w:bottom="1080" w:left="1440" w:header="708" w:footer="708" w:gutter="0"/>
          <w:pgNumType/>
          <w:docGrid w:linePitch="360"/>
        </w:sectPr>
      </w:pP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1F3B5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7"/>
                <w:szCs w:val="27"/>
              </w:rPr>
              <w:t xml:space="preserve">Three Levels of Control &amp; Cross-Unit Escalation — Worked Example</w:t>
            </w:r>
          </w:p>
        </w:tc>
      </w:tr>
      <w:tr>
        <w:tc>
          <w:tcPr>
            <w:tcW w:type="dxa" w:w="9360"/>
            <w:shd w:fill="2E6E8E" w:val="clear"/>
            <w:tcMar>
              <w:top w:type="dxa" w:w="80"/>
              <w:left w:type="dxa" w:w="180"/>
              <w:bottom w:type="dxa" w:w="8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FFFFFF"/>
                <w:sz w:val="18"/>
                <w:szCs w:val="18"/>
              </w:rPr>
              <w:t xml:space="preserve">The STR Cleaning Blueprint™  ·  Chapter 12  ·  Operations Vault   |   Summit Cleaning Solutions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p>
      <w:pPr>
        <w:spacing w:after="120" w:before="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21"/>
          <w:szCs w:val="21"/>
        </w:rPr>
        <w:t xml:space="preserve">Worked for Summit Cleaning Solutions — replacing Emily's "more meetings" with a management operating system across the new units.</w:t>
      </w:r>
    </w:p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PART 1 — THREE LEVELS OF CONTROL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1700"/>
        <w:gridCol w:w="3200"/>
        <w:gridCol w:w="2560"/>
      </w:tblGrid>
      <w:tr>
        <w:trPr>
          <w:tblHeader/>
        </w:trPr>
        <w:tc>
          <w:tcPr>
            <w:tcW w:type="dxa" w:w="1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5"/>
                <w:szCs w:val="15"/>
              </w:rPr>
              <w:t xml:space="preserve">Level</w:t>
            </w:r>
          </w:p>
        </w:tc>
        <w:tc>
          <w:tcPr>
            <w:tcW w:type="dxa" w:w="17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5"/>
                <w:szCs w:val="15"/>
              </w:rPr>
              <w:t xml:space="preserve">Cadence</w:t>
            </w:r>
          </w:p>
        </w:tc>
        <w:tc>
          <w:tcPr>
            <w:tcW w:type="dxa" w:w="3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5"/>
                <w:szCs w:val="15"/>
              </w:rPr>
              <w:t xml:space="preserve">Primary focus</w:t>
            </w:r>
          </w:p>
        </w:tc>
        <w:tc>
          <w:tcPr>
            <w:tcW w:type="dxa" w:w="25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5"/>
                <w:szCs w:val="15"/>
              </w:rPr>
              <w:t xml:space="preserve">Output</w:t>
            </w:r>
          </w:p>
        </w:tc>
      </w:tr>
      <w:tr>
        <w:tc>
          <w:tcPr>
            <w:tcW w:type="dxa" w:w="1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5"/>
                <w:szCs w:val="15"/>
              </w:rPr>
              <w:t xml:space="preserve">Operating control</w:t>
            </w:r>
          </w:p>
        </w:tc>
        <w:tc>
          <w:tcPr>
            <w:tcW w:type="dxa" w:w="17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Daily</w:t>
            </w:r>
          </w:p>
        </w:tc>
        <w:tc>
          <w:tcPr>
            <w:tcW w:type="dxa" w:w="3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Readiness, capacity, exceptions, guest deadlines</w:t>
            </w:r>
          </w:p>
        </w:tc>
        <w:tc>
          <w:tcPr>
            <w:tcW w:type="dxa" w:w="25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Owned actions &amp; updated operating picture</w:t>
            </w:r>
          </w:p>
        </w:tc>
      </w:tr>
      <w:tr>
        <w:tc>
          <w:tcPr>
            <w:tcW w:type="dxa" w:w="1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5"/>
                <w:szCs w:val="15"/>
              </w:rPr>
              <w:t xml:space="preserve">Management control</w:t>
            </w:r>
          </w:p>
        </w:tc>
        <w:tc>
          <w:tcPr>
            <w:tcW w:type="dxa" w:w="17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Weekly</w:t>
            </w:r>
          </w:p>
        </w:tc>
        <w:tc>
          <w:tcPr>
            <w:tcW w:type="dxa" w:w="3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Trends, unresolved causes, staffing, quality, account risk</w:t>
            </w:r>
          </w:p>
        </w:tc>
        <w:tc>
          <w:tcPr>
            <w:tcW w:type="dxa" w:w="25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Corrective priorities &amp; resource decisions</w:t>
            </w:r>
          </w:p>
        </w:tc>
      </w:tr>
      <w:tr>
        <w:tc>
          <w:tcPr>
            <w:tcW w:type="dxa" w:w="1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5"/>
                <w:szCs w:val="15"/>
              </w:rPr>
              <w:t xml:space="preserve">Strategic control</w:t>
            </w:r>
          </w:p>
        </w:tc>
        <w:tc>
          <w:tcPr>
            <w:tcW w:type="dxa" w:w="17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Monthly / quarterly</w:t>
            </w:r>
          </w:p>
        </w:tc>
        <w:tc>
          <w:tcPr>
            <w:tcW w:type="dxa" w:w="3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Economics, concentration, market health, leadership, capital, growth</w:t>
            </w:r>
          </w:p>
        </w:tc>
        <w:tc>
          <w:tcPr>
            <w:tcW w:type="dxa" w:w="25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Direction, investment, expansion, correction, or exit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PART 2 — MEETINGS THAT PRODUCE CONTROL</w:t>
            </w:r>
          </w:p>
        </w:tc>
      </w:tr>
    </w:tbl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Begin with prior commitments and unresolved actions.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Review exceptions and trends before averages.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Separate information sharing from decisions.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Name one owner and deadline for every action.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Record decisions in the authoritative management record.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End by identifying what changed in the system, not merely what was discussed.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Remove agenda items that do not regularly produce decisions, coordination, or learning.</w:t>
      </w:r>
    </w:p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PART 3 — CROSS-UNIT ESCALATION MATRIX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00"/>
        <w:gridCol w:w="4600"/>
        <w:gridCol w:w="3060"/>
      </w:tblGrid>
      <w:tr>
        <w:trPr>
          <w:tblHeader/>
        </w:trPr>
        <w:tc>
          <w:tcPr>
            <w:tcW w:type="dxa" w:w="17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Level</w:t>
            </w:r>
          </w:p>
        </w:tc>
        <w:tc>
          <w:tcPr>
            <w:tcW w:type="dxa" w:w="4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When it applies</w:t>
            </w:r>
          </w:p>
        </w:tc>
        <w:tc>
          <w:tcPr>
            <w:tcW w:type="dxa" w:w="3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Receives / resolves</w:t>
            </w:r>
          </w:p>
        </w:tc>
      </w:tr>
      <w:tr>
        <w:tc>
          <w:tcPr>
            <w:tcW w:type="dxa" w:w="17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Local</w:t>
            </w:r>
          </w:p>
        </w:tc>
        <w:tc>
          <w:tcPr>
            <w:tcW w:type="dxa" w:w="4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Contained within one property, crew, or routine unit authority.</w:t>
            </w:r>
          </w:p>
        </w:tc>
        <w:tc>
          <w:tcPr>
            <w:tcW w:type="dxa" w:w="3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Crew leader / supervisor</w:t>
            </w:r>
          </w:p>
        </w:tc>
      </w:tr>
      <w:tr>
        <w:tc>
          <w:tcPr>
            <w:tcW w:type="dxa" w:w="17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Unit</w:t>
            </w:r>
          </w:p>
        </w:tc>
        <w:tc>
          <w:tcPr>
            <w:tcW w:type="dxa" w:w="4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Affects several jobs, a significant client commitment, staffing, or unit budget.</w:t>
            </w:r>
          </w:p>
        </w:tc>
        <w:tc>
          <w:tcPr>
            <w:tcW w:type="dxa" w:w="3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Market / account leader</w:t>
            </w:r>
          </w:p>
        </w:tc>
      </w:tr>
      <w:tr>
        <w:tc>
          <w:tcPr>
            <w:tcW w:type="dxa" w:w="17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Cross-unit</w:t>
            </w:r>
          </w:p>
        </w:tc>
        <w:tc>
          <w:tcPr>
            <w:tcW w:type="dxa" w:w="4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Requires shared resources or creates consequences for another market/function.</w:t>
            </w:r>
          </w:p>
        </w:tc>
        <w:tc>
          <w:tcPr>
            <w:tcW w:type="dxa" w:w="3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Shared service + affected leaders</w:t>
            </w:r>
          </w:p>
        </w:tc>
      </w:tr>
      <w:tr>
        <w:tc>
          <w:tcPr>
            <w:tcW w:type="dxa" w:w="17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Enterprise</w:t>
            </w:r>
          </w:p>
        </w:tc>
        <w:tc>
          <w:tcPr>
            <w:tcW w:type="dxa" w:w="4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Threatens safety, brand, material finance, legal, strategic client, or continuity.</w:t>
            </w:r>
          </w:p>
        </w:tc>
        <w:tc>
          <w:tcPr>
            <w:tcW w:type="dxa" w:w="3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Enterprise leadership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6D5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8"/>
                <w:szCs w:val="18"/>
              </w:rPr>
              <w:t xml:space="preserve">ESCALATION RULE</w:t>
            </w:r>
          </w:p>
          <w:p>
            <w:pPr>
              <w:spacing w:after="4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The person who escalates retains responsibility for information and follow-through until the receiving leader explicitly accepts ownership. Escalation moves a decision to the level that can resolve its consequence — it is not a reflex for transferring ownership upward.</w:t>
            </w:r>
          </w:p>
        </w:tc>
      </w:tr>
    </w:tbl>
    <w:p>
      <w:pPr>
        <w:spacing w:after="120" w:before="12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6"/>
          <w:szCs w:val="16"/>
        </w:rPr>
        <w:t xml:space="preserve">A planning instrument, not a guarantee of business success. Vendor-neutral — usable with any tools, team structure, or software.  ·  The STR Cleaning Blueprint™</w:t>
      </w:r>
    </w:p>
    <w:sectPr>
      <w:pgSz w:w="12240" w:h="15840" w:orient="portrait"/>
      <w:pgMar w:top="1080" w:right="1440" w:bottom="108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2026-07-31T15:48:04.789Z</dcterms:created>
  <dcterms:modified xsi:type="dcterms:W3CDTF">2026-07-31T15:48:04.789Z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