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Now / Next / Not Yet / Not Us Decision Board</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Strategic clarity includes both temporary exclusions and identity boundaries. "Not yet" identifies opportunities that may fit but exceed present capability, capital, or timing. "Not us" identifies work that conflicts with the chosen customer, promise, values, economics, or risk tolerance. The boundary may be revisited deliberately — it should not disappear whenever a large prospect arrives.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DECISION BOARD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200"/>
        <w:gridCol w:w="3260"/>
      </w:tblGrid>
      <w:tr>
        <w:trPr>
          <w:tblHeader/>
        </w:trPr>
        <w:tc>
          <w:tcPr>
            <w:tcW w:type="dxa" w:w="17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Category</w:t>
            </w:r>
          </w:p>
        </w:tc>
        <w:tc>
          <w:tcPr>
            <w:tcW w:type="dxa" w:w="4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Meaning</w:t>
            </w:r>
          </w:p>
        </w:tc>
        <w:tc>
          <w:tcPr>
            <w:tcW w:type="dxa" w:w="32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Your decision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Now</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Fits direction and current readiness.</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Next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Fits direction but requires deliberate capability building.</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Not yet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Potentially aligned, but timing or readiness is insufficient.</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Not us</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Conflicts with the chosen future or acceptable model.</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SUMMIT'S FOUR OPPORTUNITIES (WORKED)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3100"/>
        <w:gridCol w:w="23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Opportunity</w:t>
            </w:r>
          </w:p>
        </w:tc>
        <w:tc>
          <w:tcPr>
            <w:tcW w:type="dxa" w:w="17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Category</w:t>
            </w:r>
          </w:p>
        </w:tc>
        <w:tc>
          <w:tcPr>
            <w:tcW w:type="dxa" w:w="31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Why</w:t>
            </w:r>
          </w:p>
        </w:tc>
        <w:tc>
          <w:tcPr>
            <w:tcW w:type="dxa" w:w="236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Structured as</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17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Now / phased</w:t>
            </w:r>
          </w:p>
        </w:tc>
        <w:tc>
          <w:tcPr>
            <w:tcW w:type="dxa" w:w="31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3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17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Not yet</w:t>
            </w:r>
          </w:p>
        </w:tc>
        <w:tc>
          <w:tcPr>
            <w:tcW w:type="dxa" w:w="31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3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17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Not us</w:t>
            </w:r>
          </w:p>
        </w:tc>
        <w:tc>
          <w:tcPr>
            <w:tcW w:type="dxa" w:w="31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3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
            </w:r>
          </w:p>
        </w:tc>
        <w:tc>
          <w:tcPr>
            <w:tcW w:type="dxa" w:w="17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Now (controlled)</w:t>
            </w:r>
          </w:p>
        </w:tc>
        <w:tc>
          <w:tcPr>
            <w:tcW w:type="dxa" w:w="31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c>
          <w:tcPr>
            <w:tcW w:type="dxa" w:w="23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BLUEPRINT PRINCIPLE</w:t>
            </w:r>
          </w:p>
          <w:p>
            <w:pPr>
              <w:spacing w:after="40" w:before="0" w:line="276"/>
              <w:jc w:val="left"/>
            </w:pPr>
            <w:r>
              <w:rPr>
                <w:rFonts w:ascii="Arial" w:cs="Arial" w:eastAsia="Arial" w:hAnsi="Arial"/>
                <w:b w:val="false"/>
                <w:bCs w:val="false"/>
                <w:i w:val="false"/>
                <w:iCs w:val="false"/>
                <w:color w:val="000000"/>
                <w:sz w:val="19"/>
                <w:szCs w:val="19"/>
              </w:rPr>
              <w:t xml:space="preserve">Opportunity cost should be discussed before commitment, not discovered during execution. The result Summit chose was not the fastest possible growth — it was a sequence that preserved direction.</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Now / Next / Not Yet / Not Us Decision Board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the four opportunities sorted onto the board. "Every strategic yes consumes the resources required to say no, not yet, or later to something else."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DECISION BOARD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200"/>
        <w:gridCol w:w="3260"/>
      </w:tblGrid>
      <w:tr>
        <w:trPr>
          <w:tblHeader/>
        </w:trPr>
        <w:tc>
          <w:tcPr>
            <w:tcW w:type="dxa" w:w="17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Category</w:t>
            </w:r>
          </w:p>
        </w:tc>
        <w:tc>
          <w:tcPr>
            <w:tcW w:type="dxa" w:w="4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Meaning</w:t>
            </w:r>
          </w:p>
        </w:tc>
        <w:tc>
          <w:tcPr>
            <w:tcW w:type="dxa" w:w="32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Summit decision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Now</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Fits direction and current readiness.</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Deepen the PM portfolio within existing density</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Next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Fits direction but requires deliberate capability building.</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Add an adjoining market once unit leadership &amp; laundry are proven</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Not yet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Potentially aligned, but timing or readiness is insufficient.</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Acquire laundry facility after utilization, capital &amp; owner validated</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Not us</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Conflicts with the chosen future or acceptable model.</w:t>
            </w:r>
          </w:p>
        </w:tc>
        <w:tc>
          <w:tcPr>
            <w:tcW w:type="dxa" w:w="32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Unrelated service lines that fragment training &amp; control</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SUMMIT'S FOUR OPPORTUNITIES (WORKED)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3100"/>
        <w:gridCol w:w="23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Opportunity</w:t>
            </w:r>
          </w:p>
        </w:tc>
        <w:tc>
          <w:tcPr>
            <w:tcW w:type="dxa" w:w="17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Category</w:t>
            </w:r>
          </w:p>
        </w:tc>
        <w:tc>
          <w:tcPr>
            <w:tcW w:type="dxa" w:w="310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Why</w:t>
            </w:r>
          </w:p>
        </w:tc>
        <w:tc>
          <w:tcPr>
            <w:tcW w:type="dxa" w:w="2360"/>
            <w:tcBorders>
              <w:top w:val="single" w:color="BBBBBB" w:sz="4"/>
              <w:left w:val="single" w:color="BBBBBB" w:sz="4"/>
              <w:bottom w:val="single" w:color="BBBBBB" w:sz="4"/>
              <w:right w:val="single" w:color="BBBBBB" w:sz="4"/>
            </w:tcBorders>
            <w:shd w:fill="1F3B57" w:val="clear"/>
            <w:tcMar>
              <w:top w:type="dxa" w:w="50"/>
              <w:left w:type="dxa" w:w="100"/>
              <w:bottom w:type="dxa" w:w="50"/>
              <w:right w:type="dxa" w:w="100"/>
            </w:tcMar>
          </w:tcPr>
          <w:p>
            <w:pPr>
              <w:spacing w:after="0" w:before="0" w:line="276"/>
              <w:jc w:val="left"/>
            </w:pPr>
            <w:r>
              <w:rPr>
                <w:rFonts w:ascii="Arial" w:cs="Arial" w:eastAsia="Arial" w:hAnsi="Arial"/>
                <w:b/>
                <w:bCs/>
                <w:i w:val="false"/>
                <w:iCs w:val="false"/>
                <w:color w:val="FFFFFF"/>
                <w:sz w:val="15"/>
                <w:szCs w:val="15"/>
              </w:rPr>
              <w:t xml:space="preserve">Structured as</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160-property PM portfolio</w:t>
            </w:r>
          </w:p>
        </w:tc>
        <w:tc>
          <w:tcPr>
            <w:tcW w:type="dxa" w:w="17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Now / phased</w:t>
            </w:r>
          </w:p>
        </w:tc>
        <w:tc>
          <w:tcPr>
            <w:tcW w:type="dxa" w:w="31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Fits chosen PM focus; needs 2 units + working capital</w:t>
            </w:r>
          </w:p>
        </w:tc>
        <w:tc>
          <w:tcPr>
            <w:tcW w:type="dxa" w:w="23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Phased cluster after leadership &amp; capital gates</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Laundry acquisition</w:t>
            </w:r>
          </w:p>
        </w:tc>
        <w:tc>
          <w:tcPr>
            <w:tcW w:type="dxa" w:w="17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Not yet</w:t>
            </w:r>
          </w:p>
        </w:tc>
        <w:tc>
          <w:tcPr>
            <w:tcW w:type="dxa" w:w="31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Strengthens a critical capability; no operating owner yet</w:t>
            </w:r>
          </w:p>
        </w:tc>
        <w:tc>
          <w:tcPr>
            <w:tcW w:type="dxa" w:w="23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Limited diligence; utilization &amp; financing thresholds</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Residential merger</w:t>
            </w:r>
          </w:p>
        </w:tc>
        <w:tc>
          <w:tcPr>
            <w:tcW w:type="dxa" w:w="17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Not us</w:t>
            </w:r>
          </w:p>
        </w:tc>
        <w:tc>
          <w:tcPr>
            <w:tcW w:type="dxa" w:w="31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Pulls toward a different customer, schedule, brand promise</w:t>
            </w:r>
          </w:p>
        </w:tc>
        <w:tc>
          <w:tcPr>
            <w:tcW w:type="dxa" w:w="23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Declined</w:t>
            </w:r>
          </w:p>
        </w:tc>
      </w:tr>
      <w:tr>
        <w:tc>
          <w:tcPr>
            <w:tcW w:type="dxa" w:w="2200"/>
            <w:tcBorders>
              <w:top w:val="single" w:color="BBBBBB" w:sz="4"/>
              <w:left w:val="single" w:color="BBBBBB" w:sz="4"/>
              <w:bottom w:val="single" w:color="BBBBBB" w:sz="4"/>
              <w:right w:val="single" w:color="BBBBBB" w:sz="4"/>
            </w:tcBorders>
            <w:shd w:fill="EAF1F5" w:val="clear"/>
            <w:tcMar>
              <w:top w:type="dxa" w:w="55"/>
              <w:left w:type="dxa" w:w="100"/>
              <w:bottom w:type="dxa" w:w="55"/>
              <w:right w:type="dxa" w:w="100"/>
            </w:tcMar>
            <w:vAlign w:val="top"/>
          </w:tcPr>
          <w:p>
            <w:pPr>
              <w:spacing w:after="0" w:before="0" w:line="276"/>
              <w:jc w:val="left"/>
            </w:pPr>
            <w:r>
              <w:rPr>
                <w:rFonts w:ascii="Arial" w:cs="Arial" w:eastAsia="Arial" w:hAnsi="Arial"/>
                <w:b/>
                <w:bCs/>
                <w:i w:val="false"/>
                <w:iCs w:val="false"/>
                <w:color w:val="000000"/>
                <w:sz w:val="15"/>
                <w:szCs w:val="15"/>
              </w:rPr>
              <w:t xml:space="preserve">Technology partnership</w:t>
            </w:r>
          </w:p>
        </w:tc>
        <w:tc>
          <w:tcPr>
            <w:tcW w:type="dxa" w:w="17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Now (controlled)</w:t>
            </w:r>
          </w:p>
        </w:tc>
        <w:tc>
          <w:tcPr>
            <w:tcW w:type="dxa" w:w="310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Fits positioning; value depends on terms &amp; data ownership</w:t>
            </w:r>
          </w:p>
        </w:tc>
        <w:tc>
          <w:tcPr>
            <w:tcW w:type="dxa" w:w="2360"/>
            <w:tcBorders>
              <w:top w:val="single" w:color="BBBBBB" w:sz="4"/>
              <w:left w:val="single" w:color="BBBBBB" w:sz="4"/>
              <w:bottom w:val="single" w:color="BBBBBB" w:sz="4"/>
              <w:right w:val="single" w:color="BBBBBB" w:sz="4"/>
            </w:tcBorders>
            <w:shd w:fill="FFFFFF" w:val="clear"/>
            <w:tcMar>
              <w:top w:type="dxa" w:w="55"/>
              <w:left w:type="dxa" w:w="100"/>
              <w:bottom w:type="dxa" w:w="55"/>
              <w:right w:type="dxa" w:w="100"/>
            </w:tcMar>
            <w:vAlign w:val="top"/>
          </w:tcPr>
          <w:p>
            <w:pPr>
              <w:spacing w:after="0" w:before="0" w:line="276"/>
              <w:jc w:val="left"/>
            </w:pPr>
            <w:r>
              <w:rPr>
                <w:rFonts w:ascii="Arial" w:cs="Arial" w:eastAsia="Arial" w:hAnsi="Arial"/>
                <w:b w:val="false"/>
                <w:bCs w:val="false"/>
                <w:i w:val="false"/>
                <w:iCs w:val="false"/>
                <w:color w:val="000000"/>
                <w:sz w:val="15"/>
                <w:szCs w:val="15"/>
              </w:rPr>
              <w:t xml:space="preserve">One existing market; one reporting standard</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BLUEPRINT PRINCIPLE</w:t>
            </w:r>
          </w:p>
          <w:p>
            <w:pPr>
              <w:spacing w:after="40" w:before="0" w:line="276"/>
              <w:jc w:val="left"/>
            </w:pPr>
            <w:r>
              <w:rPr>
                <w:rFonts w:ascii="Arial" w:cs="Arial" w:eastAsia="Arial" w:hAnsi="Arial"/>
                <w:b w:val="false"/>
                <w:bCs w:val="false"/>
                <w:i w:val="false"/>
                <w:iCs w:val="false"/>
                <w:color w:val="000000"/>
                <w:sz w:val="19"/>
                <w:szCs w:val="19"/>
              </w:rPr>
              <w:t xml:space="preserve">Opportunity cost should be discussed before commitment, not discovered during execution. The result Summit chose was not the fastest possible growth — it was a sequence that preserved direction.</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2026-07-31T15:58:11.506Z</dcterms:created>
  <dcterms:modified xsi:type="dcterms:W3CDTF">2026-07-31T15:58:11.506Z</dcterms:modified>
</cp:coreProperties>
</file>

<file path=docProps/custom.xml><?xml version="1.0" encoding="utf-8"?>
<Properties xmlns="http://schemas.openxmlformats.org/officeDocument/2006/custom-properties" xmlns:vt="http://schemas.openxmlformats.org/officeDocument/2006/docPropsVTypes"/>
</file>