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Risk, Reversibility, Portfolio &amp; Stop Decisions</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bCs/>
          <w:i w:val="false"/>
          <w:iCs w:val="false"/>
          <w:color w:val="000000"/>
          <w:sz w:val="21"/>
          <w:szCs w:val="21"/>
        </w:rPr>
        <w:t xml:space="preserve">Purpose.  </w:t>
      </w:r>
      <w:r>
        <w:rPr>
          <w:rFonts w:ascii="Arial" w:cs="Arial" w:eastAsia="Arial" w:hAnsi="Arial"/>
          <w:b w:val="false"/>
          <w:bCs w:val="false"/>
          <w:i w:val="false"/>
          <w:iCs w:val="false"/>
          <w:color w:val="000000"/>
          <w:sz w:val="21"/>
          <w:szCs w:val="21"/>
        </w:rPr>
        <w:t xml:space="preserve">Not every strategic choice should begin with a permanent commitment — the readiness-gate and pilot logic applies at the strategic level. Opportunities also compete for the same scarce resources, so a portfolio view reveals collisions a project-by-project review hides. And strategy requires stopping: releasing work that no longer fits, before it consumes resources long after leaders stop believing in it.</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REVERSIBILITY &amp; STAGED COMMITMENT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200"/>
        <w:gridCol w:w="2760"/>
      </w:tblGrid>
      <w:tr>
        <w:trPr>
          <w:tblHeader/>
        </w:trPr>
        <w:tc>
          <w:tcPr>
            <w:tcW w:type="dxa" w:w="2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Opportunity type</w:t>
            </w:r>
          </w:p>
        </w:tc>
        <w:tc>
          <w:tcPr>
            <w:tcW w:type="dxa" w:w="4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Staged first step</w:t>
            </w:r>
          </w:p>
        </w:tc>
        <w:tc>
          <w:tcPr>
            <w:tcW w:type="dxa" w:w="2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Your staging</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New market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 defined client cluster</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Laundry investment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Service agreement or limited equipment</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Partnership</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One operating unit</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New service</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Controlled scope + stop criteria</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100" w:before="0" w:line="276"/>
        <w:jc w:val="left"/>
      </w:pPr>
      <w:r>
        <w:rPr>
          <w:rFonts w:ascii="Arial" w:cs="Arial" w:eastAsia="Arial" w:hAnsi="Arial"/>
          <w:b w:val="false"/>
          <w:bCs w:val="false"/>
          <w:i/>
          <w:iCs/>
          <w:color w:val="777777"/>
          <w:sz w:val="18"/>
          <w:szCs w:val="18"/>
        </w:rPr>
        <w:t xml:space="preserve">Reversibility is not indecision — it is designing the commitment so the organization can learn before risk becomes irreversible. Acquisitions, long leases, debt, equity, and public brand commitments are inherently harder to reverse and need stronger evidence and professional review.</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OPPORTUNITY PORTFOLIO MAP</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100"/>
        <w:gridCol w:w="2960"/>
      </w:tblGrid>
      <w:tr>
        <w:trPr>
          <w:tblHeader/>
        </w:trPr>
        <w:tc>
          <w:tcPr>
            <w:tcW w:type="dxa" w:w="1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Portfolio category</w:t>
            </w:r>
          </w:p>
        </w:tc>
        <w:tc>
          <w:tcPr>
            <w:tcW w:type="dxa" w:w="41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Purpose</w:t>
            </w:r>
          </w:p>
        </w:tc>
        <w:tc>
          <w:tcPr>
            <w:tcW w:type="dxa" w:w="29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Typical decision</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Protect</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Preserve the professional promise &amp; current base.</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Strengthen</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Improve capabilities that support the direction.</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Expand</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Replicate proven capability into selected customers/markets.</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Explore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Test uncertain possibilities at limited exposure.</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Exit</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Release work/assets that no longer fit.</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
            </w:r>
          </w:p>
        </w:tc>
      </w:tr>
    </w:tbl>
    <w:p>
      <w:pPr>
        <w:spacing w:after="100" w:before="0" w:line="276"/>
        <w:jc w:val="left"/>
      </w:pPr>
      <w:r>
        <w:rPr>
          <w:rFonts w:ascii="Arial" w:cs="Arial" w:eastAsia="Arial" w:hAnsi="Arial"/>
          <w:b w:val="false"/>
          <w:bCs w:val="false"/>
          <w:i/>
          <w:iCs/>
          <w:color w:val="777777"/>
          <w:sz w:val="18"/>
          <w:szCs w:val="18"/>
        </w:rPr>
        <w:t xml:space="preserve">Balance the mix rather than demanding equal shares. A company recovering from rapid growth emphasizes protection and capability; a stable one with reserves may emphasize expansion and exploration.</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STRATEGIC STOP DECISION REVIEW</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Activity / service / account under review</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Still fits direction?</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Creates sufficient value vs alternatives?</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Decision (repair/renegotiate/reduce/transfer/harvest/exit)</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Transition plan (clients, employees, data, access, receivables)</w:t>
            </w:r>
          </w:p>
        </w:tc>
        <w:tc>
          <w:tcPr>
            <w:tcW w:type="dxa" w:w="4760"/>
            <w:tcBorders>
              <w:top w:val="single" w:color="BBBBBB" w:sz="4"/>
              <w:left w:val="single" w:color="BBBBBB" w:sz="4"/>
              <w:bottom w:val="single" w:color="BBBBBB" w:sz="4"/>
              <w:right w:val="single" w:color="BBBBBB" w:sz="4"/>
            </w:tcBorders>
            <w:shd w:fill="FFF6D5"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STRATEGIC RESERVES &amp; OPTIONALITY</w:t>
            </w:r>
          </w:p>
          <w:p>
            <w:pPr>
              <w:spacing w:after="40" w:before="0" w:line="276"/>
              <w:jc w:val="left"/>
            </w:pPr>
            <w:r>
              <w:rPr>
                <w:rFonts w:ascii="Arial" w:cs="Arial" w:eastAsia="Arial" w:hAnsi="Arial"/>
                <w:b w:val="false"/>
                <w:bCs w:val="false"/>
                <w:i w:val="false"/>
                <w:iCs w:val="false"/>
                <w:color w:val="000000"/>
                <w:sz w:val="19"/>
                <w:szCs w:val="19"/>
              </w:rPr>
              <w:t xml:space="preserve">An organization that allocates every dollar and every capable leader to current commitments loses optionality. Reserves — cash, backup leadership, cross-trained capacity, credit, vendor alternatives, uncommitted attention — let it absorb disruption. Efficiency that eliminates all slack makes the organization brittle.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p>
      <w:pPr>
        <w:sectPr>
          <w:pgSz w:w="12240" w:h="15840" w:orient="portrait"/>
          <w:pgMar w:top="1080" w:right="1440" w:bottom="1080" w:left="1440" w:header="708" w:footer="708" w:gutter="0"/>
          <w:pgNumType/>
          <w:docGrid w:linePitch="360"/>
        </w:sectPr>
      </w:pPr>
    </w:p>
    <w:tbl>
      <w:tblPr>
        <w:tblW w:type="dxa" w:w="9360"/>
        <w:tblBorders>
          <w:top w:val="none"/>
          <w:left w:val="none"/>
          <w:bottom w:val="none"/>
          <w:right w:val="none"/>
          <w:insideH w:val="none"/>
          <w:insideV w:val="none"/>
        </w:tblBorders>
      </w:tblPr>
      <w:tblGrid>
        <w:gridCol w:w="9360"/>
      </w:tblGrid>
      <w:tr>
        <w:tc>
          <w:tcPr>
            <w:tcW w:type="dxa" w:w="9360"/>
            <w:shd w:fill="1F3B57" w:val="clear"/>
            <w:tcMar>
              <w:top w:type="dxa" w:w="120"/>
              <w:left w:type="dxa" w:w="180"/>
              <w:bottom w:type="dxa" w:w="120"/>
              <w:right w:type="dxa" w:w="180"/>
            </w:tcMar>
          </w:tcPr>
          <w:p>
            <w:pPr>
              <w:spacing w:after="0"/>
            </w:pPr>
            <w:r>
              <w:rPr>
                <w:rFonts w:ascii="Arial" w:cs="Arial" w:eastAsia="Arial" w:hAnsi="Arial"/>
                <w:b/>
                <w:bCs/>
                <w:i w:val="false"/>
                <w:iCs w:val="false"/>
                <w:color w:val="FFFFFF"/>
                <w:sz w:val="27"/>
                <w:szCs w:val="27"/>
              </w:rPr>
              <w:t xml:space="preserve">Risk, Reversibility, Portfolio &amp; Stop Decisions — Worked Example</w:t>
            </w:r>
          </w:p>
        </w:tc>
      </w:tr>
      <w:tr>
        <w:tc>
          <w:tcPr>
            <w:tcW w:type="dxa" w:w="9360"/>
            <w:shd w:fill="2E6E8E" w:val="clear"/>
            <w:tcMar>
              <w:top w:type="dxa" w:w="80"/>
              <w:left w:type="dxa" w:w="180"/>
              <w:bottom w:type="dxa" w:w="80"/>
              <w:right w:type="dxa" w:w="180"/>
            </w:tcMar>
          </w:tcPr>
          <w:p>
            <w:pPr>
              <w:spacing w:after="0"/>
            </w:pPr>
            <w:r>
              <w:rPr>
                <w:rFonts w:ascii="Arial" w:cs="Arial" w:eastAsia="Arial" w:hAnsi="Arial"/>
                <w:b w:val="false"/>
                <w:bCs w:val="false"/>
                <w:i w:val="false"/>
                <w:iCs w:val="false"/>
                <w:color w:val="FFFFFF"/>
                <w:sz w:val="18"/>
                <w:szCs w:val="18"/>
              </w:rPr>
              <w:t xml:space="preserve">The STR Cleaning Blueprint™  ·  Chapter 13  ·  Operations Vault   |   Summit Cleaning Solutions</w:t>
            </w:r>
          </w:p>
        </w:tc>
      </w:tr>
    </w:tbl>
    <w:p>
      <w:pPr>
        <w:spacing w:after="80"/>
      </w:pPr>
      <w:r>
        <w:rPr>
          <w:rFonts w:ascii="Arial" w:cs="Arial" w:eastAsia="Arial" w:hAnsi="Arial"/>
          <w:b w:val="false"/>
          <w:bCs w:val="false"/>
          <w:i w:val="false"/>
          <w:iCs w:val="false"/>
          <w:color w:val="000000"/>
          <w:sz w:val="21"/>
          <w:szCs w:val="21"/>
        </w:rPr>
        <w:t xml:space="preserve"/>
      </w:r>
    </w:p>
    <w:p>
      <w:pPr>
        <w:spacing w:after="120" w:before="0" w:line="276"/>
        <w:jc w:val="left"/>
      </w:pPr>
      <w:r>
        <w:rPr>
          <w:rFonts w:ascii="Arial" w:cs="Arial" w:eastAsia="Arial" w:hAnsi="Arial"/>
          <w:b w:val="false"/>
          <w:bCs w:val="false"/>
          <w:i/>
          <w:iCs/>
          <w:color w:val="777777"/>
          <w:sz w:val="21"/>
          <w:szCs w:val="21"/>
        </w:rPr>
        <w:t xml:space="preserve">Worked for Summit Cleaning Solutions — structuring each opportunity for reversibility and viewing all four as one portfolio competing for Michelle, working capital, and future crew leaders.</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1 — REVERSIBILITY &amp; STAGED COMMITMENT</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200"/>
        <w:gridCol w:w="2760"/>
      </w:tblGrid>
      <w:tr>
        <w:trPr>
          <w:tblHeader/>
        </w:trPr>
        <w:tc>
          <w:tcPr>
            <w:tcW w:type="dxa" w:w="24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Opportunity type</w:t>
            </w:r>
          </w:p>
        </w:tc>
        <w:tc>
          <w:tcPr>
            <w:tcW w:type="dxa" w:w="42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Staged first step</w:t>
            </w:r>
          </w:p>
        </w:tc>
        <w:tc>
          <w:tcPr>
            <w:tcW w:type="dxa" w:w="27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Summit</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New market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A defined client cluster</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Phased cluster, not full 160</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Laundry investment</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Service agreement or limited equipment</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Diligence before acquisition</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Partnership</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One operating unit</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One market, one reporting standard</w:t>
            </w:r>
          </w:p>
        </w:tc>
      </w:tr>
      <w:tr>
        <w:tc>
          <w:tcPr>
            <w:tcW w:type="dxa" w:w="24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New service</w:t>
            </w:r>
          </w:p>
        </w:tc>
        <w:tc>
          <w:tcPr>
            <w:tcW w:type="dxa" w:w="42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Controlled scope + stop criteria</w:t>
            </w:r>
          </w:p>
        </w:tc>
        <w:tc>
          <w:tcPr>
            <w:tcW w:type="dxa" w:w="27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n/a — declined merger</w:t>
            </w:r>
          </w:p>
        </w:tc>
      </w:tr>
    </w:tbl>
    <w:p>
      <w:pPr>
        <w:spacing w:after="100" w:before="0" w:line="276"/>
        <w:jc w:val="left"/>
      </w:pPr>
      <w:r>
        <w:rPr>
          <w:rFonts w:ascii="Arial" w:cs="Arial" w:eastAsia="Arial" w:hAnsi="Arial"/>
          <w:b w:val="false"/>
          <w:bCs w:val="false"/>
          <w:i/>
          <w:iCs/>
          <w:color w:val="777777"/>
          <w:sz w:val="18"/>
          <w:szCs w:val="18"/>
        </w:rPr>
        <w:t xml:space="preserve">Reversibility is not indecision — it is designing the commitment so the organization can learn before risk becomes irreversible. Acquisitions, long leases, debt, equity, and public brand commitments are inherently harder to reverse and need stronger evidence and professional review.</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2 — OPPORTUNITY PORTFOLIO MAP</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4100"/>
        <w:gridCol w:w="2960"/>
      </w:tblGrid>
      <w:tr>
        <w:trPr>
          <w:tblHeader/>
        </w:trPr>
        <w:tc>
          <w:tcPr>
            <w:tcW w:type="dxa" w:w="19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Portfolio category</w:t>
            </w:r>
          </w:p>
        </w:tc>
        <w:tc>
          <w:tcPr>
            <w:tcW w:type="dxa" w:w="410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Purpose</w:t>
            </w:r>
          </w:p>
        </w:tc>
        <w:tc>
          <w:tcPr>
            <w:tcW w:type="dxa" w:w="2960"/>
            <w:tcBorders>
              <w:top w:val="single" w:color="BBBBBB" w:sz="4"/>
              <w:left w:val="single" w:color="BBBBBB" w:sz="4"/>
              <w:bottom w:val="single" w:color="BBBBBB" w:sz="4"/>
              <w:right w:val="single" w:color="BBBBBB" w:sz="4"/>
            </w:tcBorders>
            <w:shd w:fill="1F3B57" w:val="clear"/>
            <w:tcMar>
              <w:top w:type="dxa" w:w="55"/>
              <w:left w:type="dxa" w:w="120"/>
              <w:bottom w:type="dxa" w:w="55"/>
              <w:right w:type="dxa" w:w="120"/>
            </w:tcMar>
          </w:tcPr>
          <w:p>
            <w:pPr>
              <w:spacing w:after="0" w:before="0" w:line="276"/>
              <w:jc w:val="left"/>
            </w:pPr>
            <w:r>
              <w:rPr>
                <w:rFonts w:ascii="Arial" w:cs="Arial" w:eastAsia="Arial" w:hAnsi="Arial"/>
                <w:b/>
                <w:bCs/>
                <w:i w:val="false"/>
                <w:iCs w:val="false"/>
                <w:color w:val="FFFFFF"/>
                <w:sz w:val="16"/>
                <w:szCs w:val="16"/>
              </w:rPr>
              <w:t xml:space="preserve">Summit example</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Protect</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Preserve the professional promise &amp; current base.</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Quality stability; key-client retention; leadership depth</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Strengthen</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Improve capabilities that support the direction.</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Training system; laundry control; management bench</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Expand</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Replicate proven capability into selected customers/markets.</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Phased adjoining market; PM portfolio</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Explore</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Test uncertain possibilities at limited exposure.</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Laundry diligence; tech partnership pilot</w:t>
            </w:r>
          </w:p>
        </w:tc>
      </w:tr>
      <w:tr>
        <w:tc>
          <w:tcPr>
            <w:tcW w:type="dxa" w:w="1900"/>
            <w:tcBorders>
              <w:top w:val="single" w:color="BBBBBB" w:sz="4"/>
              <w:left w:val="single" w:color="BBBBBB" w:sz="4"/>
              <w:bottom w:val="single" w:color="BBBBBB" w:sz="4"/>
              <w:right w:val="single" w:color="BBBBBB" w:sz="4"/>
            </w:tcBorders>
            <w:shd w:fill="EAF1F5" w:val="clear"/>
            <w:tcMar>
              <w:top w:type="dxa" w:w="60"/>
              <w:left w:type="dxa" w:w="120"/>
              <w:bottom w:type="dxa" w:w="60"/>
              <w:right w:type="dxa" w:w="120"/>
            </w:tcMar>
            <w:vAlign w:val="top"/>
          </w:tcPr>
          <w:p>
            <w:pPr>
              <w:spacing w:after="0" w:before="0" w:line="276"/>
              <w:jc w:val="left"/>
            </w:pPr>
            <w:r>
              <w:rPr>
                <w:rFonts w:ascii="Arial" w:cs="Arial" w:eastAsia="Arial" w:hAnsi="Arial"/>
                <w:b/>
                <w:bCs/>
                <w:i w:val="false"/>
                <w:iCs w:val="false"/>
                <w:color w:val="000000"/>
                <w:sz w:val="16"/>
                <w:szCs w:val="16"/>
              </w:rPr>
              <w:t xml:space="preserve">Exit</w:t>
            </w:r>
          </w:p>
        </w:tc>
        <w:tc>
          <w:tcPr>
            <w:tcW w:type="dxa" w:w="410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Release work/assets that no longer fit.</w:t>
            </w:r>
          </w:p>
        </w:tc>
        <w:tc>
          <w:tcPr>
            <w:tcW w:type="dxa" w:w="2960"/>
            <w:tcBorders>
              <w:top w:val="single" w:color="BBBBBB" w:sz="4"/>
              <w:left w:val="single" w:color="BBBBBB" w:sz="4"/>
              <w:bottom w:val="single" w:color="BBBBBB" w:sz="4"/>
              <w:right w:val="single" w:color="BBBBBB" w:sz="4"/>
            </w:tcBorders>
            <w:shd w:fill="FFFFFF" w:val="clear"/>
            <w:tcMar>
              <w:top w:type="dxa" w:w="60"/>
              <w:left w:type="dxa" w:w="120"/>
              <w:bottom w:type="dxa" w:w="60"/>
              <w:right w:type="dxa" w:w="120"/>
            </w:tcMar>
            <w:vAlign w:val="top"/>
          </w:tcPr>
          <w:p>
            <w:pPr>
              <w:spacing w:after="0" w:before="0" w:line="276"/>
              <w:jc w:val="left"/>
            </w:pPr>
            <w:r>
              <w:rPr>
                <w:rFonts w:ascii="Arial" w:cs="Arial" w:eastAsia="Arial" w:hAnsi="Arial"/>
                <w:b w:val="false"/>
                <w:bCs w:val="false"/>
                <w:i w:val="false"/>
                <w:iCs w:val="false"/>
                <w:color w:val="000000"/>
                <w:sz w:val="16"/>
                <w:szCs w:val="16"/>
              </w:rPr>
              <w:t xml:space="preserve">Decline merger; shed scattered territory</w:t>
            </w:r>
          </w:p>
        </w:tc>
      </w:tr>
    </w:tbl>
    <w:p>
      <w:pPr>
        <w:spacing w:after="100" w:before="0" w:line="276"/>
        <w:jc w:val="left"/>
      </w:pPr>
      <w:r>
        <w:rPr>
          <w:rFonts w:ascii="Arial" w:cs="Arial" w:eastAsia="Arial" w:hAnsi="Arial"/>
          <w:b w:val="false"/>
          <w:bCs w:val="false"/>
          <w:i/>
          <w:iCs/>
          <w:color w:val="777777"/>
          <w:sz w:val="18"/>
          <w:szCs w:val="18"/>
        </w:rPr>
        <w:t xml:space="preserve">Balance the mix rather than demanding equal shares. A company recovering from rapid growth emphasizes protection and capability; a stable one with reserves may emphasize expansion and exploration.</w:t>
      </w:r>
    </w:p>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none"/>
          <w:left w:val="none"/>
          <w:bottom w:val="none"/>
          <w:right w:val="none"/>
          <w:insideH w:val="none"/>
          <w:insideV w:val="none"/>
        </w:tblBorders>
      </w:tblPr>
      <w:tblGrid>
        <w:gridCol w:w="9360"/>
      </w:tblGrid>
      <w:tr>
        <w:tc>
          <w:tcPr>
            <w:tcW w:type="dxa" w:w="9360"/>
            <w:shd w:fill="2E6E8E" w:val="clear"/>
            <w:tcMar>
              <w:top w:type="dxa" w:w="60"/>
              <w:left w:type="dxa" w:w="150"/>
              <w:bottom w:type="dxa" w:w="60"/>
              <w:right w:type="dxa" w:w="150"/>
            </w:tcMar>
          </w:tcPr>
          <w:p>
            <w:pPr>
              <w:spacing w:after="0"/>
            </w:pPr>
            <w:r>
              <w:rPr>
                <w:rFonts w:ascii="Arial" w:cs="Arial" w:eastAsia="Arial" w:hAnsi="Arial"/>
                <w:b/>
                <w:bCs/>
                <w:i w:val="false"/>
                <w:iCs w:val="false"/>
                <w:color w:val="FFFFFF"/>
                <w:sz w:val="20"/>
                <w:szCs w:val="20"/>
              </w:rPr>
              <w:t xml:space="preserve">PART 3 — STRATEGIC STOP DECISION REVIEW</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00"/>
        <w:gridCol w:w="4760"/>
      </w:tblGrid>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Activity / service / account under review</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Scattered remote territory</w:t>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Still fits direction?</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No — outside compact density model</w:t>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Creates sufficient value vs alternatives?</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No — high travel, thin margin</w:t>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Decision (repair/renegotiate/reduce/transfer/harvest/exit)</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Transfer or exit with orderly transition</w:t>
            </w:r>
          </w:p>
        </w:tc>
      </w:tr>
      <w:tr>
        <w:tc>
          <w:tcPr>
            <w:tcW w:type="dxa" w:w="4600"/>
            <w:tcBorders>
              <w:top w:val="single" w:color="BBBBBB" w:sz="4"/>
              <w:left w:val="single" w:color="BBBBBB" w:sz="4"/>
              <w:bottom w:val="single" w:color="BBBBBB" w:sz="4"/>
              <w:right w:val="single" w:color="BBBBBB" w:sz="4"/>
            </w:tcBorders>
            <w:shd w:fill="F2F2F2" w:val="clear"/>
            <w:tcMar>
              <w:top w:type="dxa" w:w="70"/>
              <w:left w:type="dxa" w:w="140"/>
              <w:bottom w:type="dxa" w:w="70"/>
              <w:right w:type="dxa" w:w="140"/>
            </w:tcMar>
            <w:vAlign w:val="center"/>
          </w:tcPr>
          <w:p>
            <w:pPr>
              <w:spacing w:after="0" w:before="0" w:line="276"/>
              <w:jc w:val="left"/>
            </w:pPr>
            <w:r>
              <w:rPr>
                <w:rFonts w:ascii="Arial" w:cs="Arial" w:eastAsia="Arial" w:hAnsi="Arial"/>
                <w:b/>
                <w:bCs/>
                <w:i w:val="false"/>
                <w:iCs w:val="false"/>
                <w:color w:val="000000"/>
                <w:sz w:val="20"/>
                <w:szCs w:val="20"/>
              </w:rPr>
              <w:t xml:space="preserve">Transition plan (clients, employees, data, access, receivables)</w:t>
            </w:r>
          </w:p>
        </w:tc>
        <w:tc>
          <w:tcPr>
            <w:tcW w:type="dxa" w:w="4760"/>
            <w:tcBorders>
              <w:top w:val="single" w:color="BBBBBB" w:sz="4"/>
              <w:left w:val="single" w:color="BBBBBB" w:sz="4"/>
              <w:bottom w:val="single" w:color="BBBBBB" w:sz="4"/>
              <w:right w:val="single" w:color="BBBBBB" w:sz="4"/>
            </w:tcBorders>
            <w:shd w:fill="FFFFFF" w:val="clear"/>
            <w:tcMar>
              <w:top w:type="dxa" w:w="70"/>
              <w:left w:type="dxa" w:w="140"/>
              <w:bottom w:type="dxa" w:w="70"/>
              <w:right w:type="dxa" w:w="140"/>
            </w:tcMar>
            <w:vAlign w:val="center"/>
          </w:tcPr>
          <w:p>
            <w:pPr>
              <w:spacing w:after="0" w:before="0" w:line="276"/>
              <w:jc w:val="left"/>
            </w:pPr>
            <w:r>
              <w:rPr>
                <w:rFonts w:ascii="Arial" w:cs="Arial" w:eastAsia="Arial" w:hAnsi="Arial"/>
                <w:b w:val="false"/>
                <w:bCs w:val="false"/>
                <w:i w:val="false"/>
                <w:iCs w:val="false"/>
                <w:color w:val="000000"/>
                <w:sz w:val="20"/>
                <w:szCs w:val="20"/>
              </w:rPr>
              <w:t xml:space="preserve">Notice, reassignment, records handoff</w:t>
            </w:r>
          </w:p>
        </w:tc>
      </w:tr>
    </w:tbl>
    <w:p>
      <w:pPr>
        <w:spacing w:after="80"/>
      </w:pPr>
      <w:r>
        <w:rPr>
          <w:rFonts w:ascii="Arial" w:cs="Arial" w:eastAsia="Arial" w:hAnsi="Arial"/>
          <w:b w:val="false"/>
          <w:bCs w:val="false"/>
          <w:i w:val="false"/>
          <w:iCs w:val="false"/>
          <w:color w:val="000000"/>
          <w:sz w:val="21"/>
          <w:szCs w:val="21"/>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4"/>
              <w:left w:val="single" w:color="CCCCCC" w:sz="4"/>
              <w:bottom w:val="single" w:color="CCCCCC" w:sz="4"/>
              <w:right w:val="single" w:color="CCCCCC" w:sz="4"/>
            </w:tcBorders>
            <w:shd w:fill="FFF6D5" w:val="clear"/>
            <w:tcMar>
              <w:top w:type="dxa" w:w="100"/>
              <w:left w:type="dxa" w:w="160"/>
              <w:bottom w:type="dxa" w:w="100"/>
              <w:right w:type="dxa" w:w="160"/>
            </w:tcMar>
          </w:tcPr>
          <w:p>
            <w:pPr>
              <w:spacing w:after="60" w:before="0" w:line="276"/>
              <w:jc w:val="left"/>
            </w:pPr>
            <w:r>
              <w:rPr>
                <w:rFonts w:ascii="Arial" w:cs="Arial" w:eastAsia="Arial" w:hAnsi="Arial"/>
                <w:b/>
                <w:bCs/>
                <w:i w:val="false"/>
                <w:iCs w:val="false"/>
                <w:color w:val="1F3B57"/>
                <w:sz w:val="18"/>
                <w:szCs w:val="18"/>
              </w:rPr>
              <w:t xml:space="preserve">STRATEGIC RESERVES &amp; OPTIONALITY</w:t>
            </w:r>
          </w:p>
          <w:p>
            <w:pPr>
              <w:spacing w:after="40" w:before="0" w:line="276"/>
              <w:jc w:val="left"/>
            </w:pPr>
            <w:r>
              <w:rPr>
                <w:rFonts w:ascii="Arial" w:cs="Arial" w:eastAsia="Arial" w:hAnsi="Arial"/>
                <w:b w:val="false"/>
                <w:bCs w:val="false"/>
                <w:i w:val="false"/>
                <w:iCs w:val="false"/>
                <w:color w:val="000000"/>
                <w:sz w:val="19"/>
                <w:szCs w:val="19"/>
              </w:rPr>
              <w:t xml:space="preserve">An organization that allocates every dollar and every capable leader to current commitments loses optionality. Reserves — cash, backup leadership, cross-trained capacity, credit, vendor alternatives, uncommitted attention — let it absorb disruption. Efficiency that eliminates all slack makes the organization brittle.</w:t>
            </w:r>
          </w:p>
        </w:tc>
      </w:tr>
    </w:tbl>
    <w:p>
      <w:pPr>
        <w:spacing w:after="120" w:before="120" w:line="276"/>
        <w:jc w:val="left"/>
      </w:pPr>
      <w:r>
        <w:rPr>
          <w:rFonts w:ascii="Arial" w:cs="Arial" w:eastAsia="Arial" w:hAnsi="Arial"/>
          <w:b w:val="false"/>
          <w:bCs w:val="false"/>
          <w:i/>
          <w:iCs/>
          <w:color w:val="777777"/>
          <w:sz w:val="16"/>
          <w:szCs w:val="16"/>
        </w:rPr>
        <w:t xml:space="preserve">A planning instrument, not a guarantee of business success. Vendor-neutral — usable with any tools, team structure, or software.  ·  The STR Cleaning Blueprint™</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2026-07-31T15:58:11.555Z</dcterms:created>
  <dcterms:modified xsi:type="dcterms:W3CDTF">2026-07-31T15:58:11.555Z</dcterms:modified>
</cp:coreProperties>
</file>

<file path=docProps/custom.xml><?xml version="1.0" encoding="utf-8"?>
<Properties xmlns="http://schemas.openxmlformats.org/officeDocument/2006/custom-properties" xmlns:vt="http://schemas.openxmlformats.org/officeDocument/2006/docPropsVTypes"/>
</file>