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Stewardship, Renewal, Succession &amp; Vision Renewal Workshop</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13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The final responsibility of strategic leadership is stewardship: the organization is a system of commitments to employees, clients, suppliers, communities, capital, knowledge, and reputation — not merely an asset to expand, sell, or optimize. This guide protects long-term value, defines when direction requires review, and prepares strategic continuity beyond the current leader.</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THE VALUE THE ORGANIZATION IS BUILDING</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4100"/>
        <w:gridCol w:w="3260"/>
      </w:tblGrid>
      <w:tr>
        <w:trPr>
          <w:tblHeader/>
        </w:trPr>
        <w:tc>
          <w:tcPr>
            <w:tcW w:type="dxa" w:w="20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Value category</w:t>
            </w:r>
          </w:p>
        </w:tc>
        <w:tc>
          <w:tcPr>
            <w:tcW w:type="dxa" w:w="41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What makes it durable</w:t>
            </w:r>
          </w:p>
        </w:tc>
        <w:tc>
          <w:tcPr>
            <w:tcW w:type="dxa" w:w="32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Your organization</w:t>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Client value</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Trust, documented performance, integration discipline, continuity.</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Human capability</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Qualified professionals, leaders, coaches, succession depth.</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Operational capability</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Repeatable systems, authoritative records, resilience, learning.</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Economic value</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Sustainable margin, cash discipline, diversified revenue, controlled risk.</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Knowledge value</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Property intelligence, standards, decision records, lessons.</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Professional contribution</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Better practices, stronger standards, shared knowledge.</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SIGNALS THAT DIRECTION REQUIRES REVIEW</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The chosen customer no longer values the promise at sustainable terms.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The organization repeatedly builds exceptions that contradict its operating model.</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Capability investment no longer produces differentiated value.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Client, market, vendor, technology, or financing concentration becomes unacceptable.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Leaders cannot explain how current priorities support the vision.</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Employees experience the stated culture and actual resource decisions as incompatible.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The company preserves legacy work primarily because it is familiar.</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Ownership or leadership transition changes the time horizon or risk capacity.</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SUCCESSION &amp; STRATEGIC CONTINUITY</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Make the reasoning behind major decisions visible (not private instinct).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Develop leaders capable of disagreement, not merely compliance.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Preserve material commitments, risks, capital decisions, and partnership boundaries in governance records.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Ensure a successor inherits a living decision system, not unexplained preferences.</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4 — ANNUAL VISION RENEWAL WORKSHOP (AGENDA)</w:t>
            </w:r>
          </w:p>
        </w:tc>
      </w:tr>
    </w:tbl>
    <w:p>
      <w:pPr>
        <w:spacing w:after="70" w:before="0" w:line="276"/>
        <w:jc w:val="left"/>
      </w:pPr>
      <w:r>
        <w:rPr>
          <w:rFonts w:ascii="Arial" w:cs="Arial" w:eastAsia="Arial" w:hAnsi="Arial"/>
          <w:b/>
          <w:bCs/>
          <w:i w:val="false"/>
          <w:iCs w:val="false"/>
          <w:color w:val="000000"/>
          <w:sz w:val="19"/>
          <w:szCs w:val="19"/>
        </w:rPr>
        <w:t xml:space="preserve">1.  </w:t>
      </w:r>
      <w:r>
        <w:rPr>
          <w:rFonts w:ascii="Arial" w:cs="Arial" w:eastAsia="Arial" w:hAnsi="Arial"/>
          <w:b w:val="false"/>
          <w:bCs w:val="false"/>
          <w:i w:val="false"/>
          <w:iCs w:val="false"/>
          <w:color w:val="000000"/>
          <w:sz w:val="19"/>
          <w:szCs w:val="19"/>
        </w:rPr>
        <w:t xml:space="preserve">Revisit the six strategic-direction choices — do they still reinforce one another?</w:t>
      </w:r>
    </w:p>
    <w:p>
      <w:pPr>
        <w:spacing w:after="70" w:before="0" w:line="276"/>
        <w:jc w:val="left"/>
      </w:pPr>
      <w:r>
        <w:rPr>
          <w:rFonts w:ascii="Arial" w:cs="Arial" w:eastAsia="Arial" w:hAnsi="Arial"/>
          <w:b/>
          <w:bCs/>
          <w:i w:val="false"/>
          <w:iCs w:val="false"/>
          <w:color w:val="000000"/>
          <w:sz w:val="19"/>
          <w:szCs w:val="19"/>
        </w:rPr>
        <w:t xml:space="preserve">2.  </w:t>
      </w:r>
      <w:r>
        <w:rPr>
          <w:rFonts w:ascii="Arial" w:cs="Arial" w:eastAsia="Arial" w:hAnsi="Arial"/>
          <w:b w:val="false"/>
          <w:bCs w:val="false"/>
          <w:i w:val="false"/>
          <w:iCs w:val="false"/>
          <w:color w:val="000000"/>
          <w:sz w:val="19"/>
          <w:szCs w:val="19"/>
        </w:rPr>
        <w:t xml:space="preserve">Review the assumption register: confirmed, rejected, or revised?</w:t>
      </w:r>
    </w:p>
    <w:p>
      <w:pPr>
        <w:spacing w:after="70" w:before="0" w:line="276"/>
        <w:jc w:val="left"/>
      </w:pPr>
      <w:r>
        <w:rPr>
          <w:rFonts w:ascii="Arial" w:cs="Arial" w:eastAsia="Arial" w:hAnsi="Arial"/>
          <w:b/>
          <w:bCs/>
          <w:i w:val="false"/>
          <w:iCs w:val="false"/>
          <w:color w:val="000000"/>
          <w:sz w:val="19"/>
          <w:szCs w:val="19"/>
        </w:rPr>
        <w:t xml:space="preserve">3.  </w:t>
      </w:r>
      <w:r>
        <w:rPr>
          <w:rFonts w:ascii="Arial" w:cs="Arial" w:eastAsia="Arial" w:hAnsi="Arial"/>
          <w:b w:val="false"/>
          <w:bCs w:val="false"/>
          <w:i w:val="false"/>
          <w:iCs w:val="false"/>
          <w:color w:val="000000"/>
          <w:sz w:val="19"/>
          <w:szCs w:val="19"/>
        </w:rPr>
        <w:t xml:space="preserve">Re-sort the opportunity board (Now / Next / Not Yet / Not Us).</w:t>
      </w:r>
    </w:p>
    <w:p>
      <w:pPr>
        <w:spacing w:after="70" w:before="0" w:line="276"/>
        <w:jc w:val="left"/>
      </w:pPr>
      <w:r>
        <w:rPr>
          <w:rFonts w:ascii="Arial" w:cs="Arial" w:eastAsia="Arial" w:hAnsi="Arial"/>
          <w:b/>
          <w:bCs/>
          <w:i w:val="false"/>
          <w:iCs w:val="false"/>
          <w:color w:val="000000"/>
          <w:sz w:val="19"/>
          <w:szCs w:val="19"/>
        </w:rPr>
        <w:t xml:space="preserve">4.  </w:t>
      </w:r>
      <w:r>
        <w:rPr>
          <w:rFonts w:ascii="Arial" w:cs="Arial" w:eastAsia="Arial" w:hAnsi="Arial"/>
          <w:b w:val="false"/>
          <w:bCs w:val="false"/>
          <w:i w:val="false"/>
          <w:iCs w:val="false"/>
          <w:color w:val="000000"/>
          <w:sz w:val="19"/>
          <w:szCs w:val="19"/>
        </w:rPr>
        <w:t xml:space="preserve">Rebalance the portfolio (Protect / Strengthen / Expand / Explore / Exit).</w:t>
      </w:r>
    </w:p>
    <w:p>
      <w:pPr>
        <w:spacing w:after="70" w:before="0" w:line="276"/>
        <w:jc w:val="left"/>
      </w:pPr>
      <w:r>
        <w:rPr>
          <w:rFonts w:ascii="Arial" w:cs="Arial" w:eastAsia="Arial" w:hAnsi="Arial"/>
          <w:b/>
          <w:bCs/>
          <w:i w:val="false"/>
          <w:iCs w:val="false"/>
          <w:color w:val="000000"/>
          <w:sz w:val="19"/>
          <w:szCs w:val="19"/>
        </w:rPr>
        <w:t xml:space="preserve">5.  </w:t>
      </w:r>
      <w:r>
        <w:rPr>
          <w:rFonts w:ascii="Arial" w:cs="Arial" w:eastAsia="Arial" w:hAnsi="Arial"/>
          <w:b w:val="false"/>
          <w:bCs w:val="false"/>
          <w:i w:val="false"/>
          <w:iCs w:val="false"/>
          <w:color w:val="000000"/>
          <w:sz w:val="19"/>
          <w:szCs w:val="19"/>
        </w:rPr>
        <w:t xml:space="preserve">Refresh the leadership attention budget and reserves.</w:t>
      </w:r>
    </w:p>
    <w:p>
      <w:pPr>
        <w:spacing w:after="70" w:before="0" w:line="276"/>
        <w:jc w:val="left"/>
      </w:pPr>
      <w:r>
        <w:rPr>
          <w:rFonts w:ascii="Arial" w:cs="Arial" w:eastAsia="Arial" w:hAnsi="Arial"/>
          <w:b/>
          <w:bCs/>
          <w:i w:val="false"/>
          <w:iCs w:val="false"/>
          <w:color w:val="000000"/>
          <w:sz w:val="19"/>
          <w:szCs w:val="19"/>
        </w:rPr>
        <w:t xml:space="preserve">6.  </w:t>
      </w:r>
      <w:r>
        <w:rPr>
          <w:rFonts w:ascii="Arial" w:cs="Arial" w:eastAsia="Arial" w:hAnsi="Arial"/>
          <w:b w:val="false"/>
          <w:bCs w:val="false"/>
          <w:i w:val="false"/>
          <w:iCs w:val="false"/>
          <w:color w:val="000000"/>
          <w:sz w:val="19"/>
          <w:szCs w:val="19"/>
        </w:rPr>
        <w:t xml:space="preserve">Update the Business Vision Roadmap horizons and commitments.</w:t>
      </w:r>
    </w:p>
    <w:p>
      <w:pPr>
        <w:spacing w:after="70" w:before="0" w:line="276"/>
        <w:jc w:val="left"/>
      </w:pPr>
      <w:r>
        <w:rPr>
          <w:rFonts w:ascii="Arial" w:cs="Arial" w:eastAsia="Arial" w:hAnsi="Arial"/>
          <w:b/>
          <w:bCs/>
          <w:i w:val="false"/>
          <w:iCs w:val="false"/>
          <w:color w:val="000000"/>
          <w:sz w:val="19"/>
          <w:szCs w:val="19"/>
        </w:rPr>
        <w:t xml:space="preserve">7.  </w:t>
      </w:r>
      <w:r>
        <w:rPr>
          <w:rFonts w:ascii="Arial" w:cs="Arial" w:eastAsia="Arial" w:hAnsi="Arial"/>
          <w:b w:val="false"/>
          <w:bCs w:val="false"/>
          <w:i w:val="false"/>
          <w:iCs w:val="false"/>
          <w:color w:val="000000"/>
          <w:sz w:val="19"/>
          <w:szCs w:val="19"/>
        </w:rPr>
        <w:t xml:space="preserve">Record decisions and communicate material changes.</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BE4E4"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9C2B2B"/>
                <w:sz w:val="18"/>
                <w:szCs w:val="18"/>
              </w:rPr>
              <w:t xml:space="preserve">⚖  LEGAL &amp; PROFESSIONAL-ADVICE CHECKPOINT</w:t>
            </w:r>
          </w:p>
          <w:p>
            <w:pPr>
              <w:spacing w:after="40" w:before="0" w:line="276"/>
              <w:jc w:val="left"/>
            </w:pPr>
            <w:r>
              <w:rPr>
                <w:rFonts w:ascii="Arial" w:cs="Arial" w:eastAsia="Arial" w:hAnsi="Arial"/>
                <w:b w:val="false"/>
                <w:bCs w:val="false"/>
                <w:i w:val="false"/>
                <w:iCs w:val="false"/>
                <w:color w:val="000000"/>
                <w:sz w:val="19"/>
                <w:szCs w:val="19"/>
              </w:rPr>
              <w:t xml:space="preserve">Expansion, acquisition, merger, franchising, lending, equity investment, long leases, and entry into regulated services change licensing, tax, employment, insurance, safety, data, contract, and financing obligations. Obtain current advice from qualified legal, accounting, insurance, and financial professionals before committing. Use client logos, case studies, photographs, employee stories, and results only with permission and accurate context. This tool identifies operating exposures, not legal ones.</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LASTING LESSON</w:t>
            </w:r>
          </w:p>
          <w:p>
            <w:pPr>
              <w:spacing w:after="40" w:before="0" w:line="276"/>
              <w:jc w:val="left"/>
            </w:pPr>
            <w:r>
              <w:rPr>
                <w:rFonts w:ascii="Arial" w:cs="Arial" w:eastAsia="Arial" w:hAnsi="Arial"/>
                <w:b w:val="false"/>
                <w:bCs w:val="false"/>
                <w:i w:val="false"/>
                <w:iCs w:val="false"/>
                <w:color w:val="000000"/>
                <w:sz w:val="19"/>
                <w:szCs w:val="19"/>
              </w:rPr>
              <w:t xml:space="preserve">A company becomes strategic when it can choose its future without abandoning the operating truth, professional responsibilities, and people that make that future possible.</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Stewardship, Renewal, Succession &amp; Vision Renewal Workshop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13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Worked for Summit Cleaning Solutions — the close of the story: "A company becomes strategic when it can choose its future without abandoning the operating truth, professional responsibilities, and people that make that future possible."</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THE VALUE THE ORGANIZATION IS BUILDING</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4100"/>
        <w:gridCol w:w="3260"/>
      </w:tblGrid>
      <w:tr>
        <w:trPr>
          <w:tblHeader/>
        </w:trPr>
        <w:tc>
          <w:tcPr>
            <w:tcW w:type="dxa" w:w="20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Value category</w:t>
            </w:r>
          </w:p>
        </w:tc>
        <w:tc>
          <w:tcPr>
            <w:tcW w:type="dxa" w:w="41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What makes it durable</w:t>
            </w:r>
          </w:p>
        </w:tc>
        <w:tc>
          <w:tcPr>
            <w:tcW w:type="dxa" w:w="32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Summit</w:t>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Client value</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Trust, documented performance, integration discipline, continuity.</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North Shore relationship depth</w:t>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Human capability</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Qualified professionals, leaders, coaches, succession depth.</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Michelle, Carlos, crew-leader bench</w:t>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Operational capability</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Repeatable systems, authoritative records, resilience, learning.</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One system of record; quality system</w:t>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Economic value</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Sustainable margin, cash discipline, diversified revenue, controlled risk.</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Reducing concentration exposure</w:t>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Knowledge value</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Property intelligence, standards, decision records, lessons.</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Profiles, standards library, decision records</w:t>
            </w:r>
          </w:p>
        </w:tc>
      </w:tr>
      <w:tr>
        <w:tc>
          <w:tcPr>
            <w:tcW w:type="dxa" w:w="20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Professional contribution</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Better practices, stronger standards, shared knowledge.</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Developing leaders who strengthen the field</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SIGNALS THAT DIRECTION REQUIRES REVIEW</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The chosen customer no longer values the promise at sustainable terms.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The organization repeatedly builds exceptions that contradict its operating model.</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Capability investment no longer produces differentiated value.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Client, market, vendor, technology, or financing concentration becomes unacceptable.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Leaders cannot explain how current priorities support the vision.</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Employees experience the stated culture and actual resource decisions as incompatible.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The company preserves legacy work primarily because it is familiar.</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Ownership or leadership transition changes the time horizon or risk capacity.</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SUCCESSION &amp; STRATEGIC CONTINUITY</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Make the reasoning behind major decisions visible (not private instinct).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Develop leaders capable of disagreement, not merely compliance.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Preserve material commitments, risks, capital decisions, and partnership boundaries in governance records.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Ensure a successor inherits a living decision system, not unexplained preferences.</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4 — ANNUAL VISION RENEWAL WORKSHOP (AGENDA)</w:t>
            </w:r>
          </w:p>
        </w:tc>
      </w:tr>
    </w:tbl>
    <w:p>
      <w:pPr>
        <w:spacing w:after="70" w:before="0" w:line="276"/>
        <w:jc w:val="left"/>
      </w:pPr>
      <w:r>
        <w:rPr>
          <w:rFonts w:ascii="Arial" w:cs="Arial" w:eastAsia="Arial" w:hAnsi="Arial"/>
          <w:b/>
          <w:bCs/>
          <w:i w:val="false"/>
          <w:iCs w:val="false"/>
          <w:color w:val="000000"/>
          <w:sz w:val="19"/>
          <w:szCs w:val="19"/>
        </w:rPr>
        <w:t xml:space="preserve">1.  </w:t>
      </w:r>
      <w:r>
        <w:rPr>
          <w:rFonts w:ascii="Arial" w:cs="Arial" w:eastAsia="Arial" w:hAnsi="Arial"/>
          <w:b w:val="false"/>
          <w:bCs w:val="false"/>
          <w:i w:val="false"/>
          <w:iCs w:val="false"/>
          <w:color w:val="000000"/>
          <w:sz w:val="19"/>
          <w:szCs w:val="19"/>
        </w:rPr>
        <w:t xml:space="preserve">Revisit the six strategic-direction choices — do they still reinforce one another?</w:t>
      </w:r>
    </w:p>
    <w:p>
      <w:pPr>
        <w:spacing w:after="70" w:before="0" w:line="276"/>
        <w:jc w:val="left"/>
      </w:pPr>
      <w:r>
        <w:rPr>
          <w:rFonts w:ascii="Arial" w:cs="Arial" w:eastAsia="Arial" w:hAnsi="Arial"/>
          <w:b/>
          <w:bCs/>
          <w:i w:val="false"/>
          <w:iCs w:val="false"/>
          <w:color w:val="000000"/>
          <w:sz w:val="19"/>
          <w:szCs w:val="19"/>
        </w:rPr>
        <w:t xml:space="preserve">2.  </w:t>
      </w:r>
      <w:r>
        <w:rPr>
          <w:rFonts w:ascii="Arial" w:cs="Arial" w:eastAsia="Arial" w:hAnsi="Arial"/>
          <w:b w:val="false"/>
          <w:bCs w:val="false"/>
          <w:i w:val="false"/>
          <w:iCs w:val="false"/>
          <w:color w:val="000000"/>
          <w:sz w:val="19"/>
          <w:szCs w:val="19"/>
        </w:rPr>
        <w:t xml:space="preserve">Review the assumption register: confirmed, rejected, or revised?</w:t>
      </w:r>
    </w:p>
    <w:p>
      <w:pPr>
        <w:spacing w:after="70" w:before="0" w:line="276"/>
        <w:jc w:val="left"/>
      </w:pPr>
      <w:r>
        <w:rPr>
          <w:rFonts w:ascii="Arial" w:cs="Arial" w:eastAsia="Arial" w:hAnsi="Arial"/>
          <w:b/>
          <w:bCs/>
          <w:i w:val="false"/>
          <w:iCs w:val="false"/>
          <w:color w:val="000000"/>
          <w:sz w:val="19"/>
          <w:szCs w:val="19"/>
        </w:rPr>
        <w:t xml:space="preserve">3.  </w:t>
      </w:r>
      <w:r>
        <w:rPr>
          <w:rFonts w:ascii="Arial" w:cs="Arial" w:eastAsia="Arial" w:hAnsi="Arial"/>
          <w:b w:val="false"/>
          <w:bCs w:val="false"/>
          <w:i w:val="false"/>
          <w:iCs w:val="false"/>
          <w:color w:val="000000"/>
          <w:sz w:val="19"/>
          <w:szCs w:val="19"/>
        </w:rPr>
        <w:t xml:space="preserve">Re-sort the opportunity board (Now / Next / Not Yet / Not Us).</w:t>
      </w:r>
    </w:p>
    <w:p>
      <w:pPr>
        <w:spacing w:after="70" w:before="0" w:line="276"/>
        <w:jc w:val="left"/>
      </w:pPr>
      <w:r>
        <w:rPr>
          <w:rFonts w:ascii="Arial" w:cs="Arial" w:eastAsia="Arial" w:hAnsi="Arial"/>
          <w:b/>
          <w:bCs/>
          <w:i w:val="false"/>
          <w:iCs w:val="false"/>
          <w:color w:val="000000"/>
          <w:sz w:val="19"/>
          <w:szCs w:val="19"/>
        </w:rPr>
        <w:t xml:space="preserve">4.  </w:t>
      </w:r>
      <w:r>
        <w:rPr>
          <w:rFonts w:ascii="Arial" w:cs="Arial" w:eastAsia="Arial" w:hAnsi="Arial"/>
          <w:b w:val="false"/>
          <w:bCs w:val="false"/>
          <w:i w:val="false"/>
          <w:iCs w:val="false"/>
          <w:color w:val="000000"/>
          <w:sz w:val="19"/>
          <w:szCs w:val="19"/>
        </w:rPr>
        <w:t xml:space="preserve">Rebalance the portfolio (Protect / Strengthen / Expand / Explore / Exit).</w:t>
      </w:r>
    </w:p>
    <w:p>
      <w:pPr>
        <w:spacing w:after="70" w:before="0" w:line="276"/>
        <w:jc w:val="left"/>
      </w:pPr>
      <w:r>
        <w:rPr>
          <w:rFonts w:ascii="Arial" w:cs="Arial" w:eastAsia="Arial" w:hAnsi="Arial"/>
          <w:b/>
          <w:bCs/>
          <w:i w:val="false"/>
          <w:iCs w:val="false"/>
          <w:color w:val="000000"/>
          <w:sz w:val="19"/>
          <w:szCs w:val="19"/>
        </w:rPr>
        <w:t xml:space="preserve">5.  </w:t>
      </w:r>
      <w:r>
        <w:rPr>
          <w:rFonts w:ascii="Arial" w:cs="Arial" w:eastAsia="Arial" w:hAnsi="Arial"/>
          <w:b w:val="false"/>
          <w:bCs w:val="false"/>
          <w:i w:val="false"/>
          <w:iCs w:val="false"/>
          <w:color w:val="000000"/>
          <w:sz w:val="19"/>
          <w:szCs w:val="19"/>
        </w:rPr>
        <w:t xml:space="preserve">Refresh the leadership attention budget and reserves.</w:t>
      </w:r>
    </w:p>
    <w:p>
      <w:pPr>
        <w:spacing w:after="70" w:before="0" w:line="276"/>
        <w:jc w:val="left"/>
      </w:pPr>
      <w:r>
        <w:rPr>
          <w:rFonts w:ascii="Arial" w:cs="Arial" w:eastAsia="Arial" w:hAnsi="Arial"/>
          <w:b/>
          <w:bCs/>
          <w:i w:val="false"/>
          <w:iCs w:val="false"/>
          <w:color w:val="000000"/>
          <w:sz w:val="19"/>
          <w:szCs w:val="19"/>
        </w:rPr>
        <w:t xml:space="preserve">6.  </w:t>
      </w:r>
      <w:r>
        <w:rPr>
          <w:rFonts w:ascii="Arial" w:cs="Arial" w:eastAsia="Arial" w:hAnsi="Arial"/>
          <w:b w:val="false"/>
          <w:bCs w:val="false"/>
          <w:i w:val="false"/>
          <w:iCs w:val="false"/>
          <w:color w:val="000000"/>
          <w:sz w:val="19"/>
          <w:szCs w:val="19"/>
        </w:rPr>
        <w:t xml:space="preserve">Update the Business Vision Roadmap horizons and commitments.</w:t>
      </w:r>
    </w:p>
    <w:p>
      <w:pPr>
        <w:spacing w:after="70" w:before="0" w:line="276"/>
        <w:jc w:val="left"/>
      </w:pPr>
      <w:r>
        <w:rPr>
          <w:rFonts w:ascii="Arial" w:cs="Arial" w:eastAsia="Arial" w:hAnsi="Arial"/>
          <w:b/>
          <w:bCs/>
          <w:i w:val="false"/>
          <w:iCs w:val="false"/>
          <w:color w:val="000000"/>
          <w:sz w:val="19"/>
          <w:szCs w:val="19"/>
        </w:rPr>
        <w:t xml:space="preserve">7.  </w:t>
      </w:r>
      <w:r>
        <w:rPr>
          <w:rFonts w:ascii="Arial" w:cs="Arial" w:eastAsia="Arial" w:hAnsi="Arial"/>
          <w:b w:val="false"/>
          <w:bCs w:val="false"/>
          <w:i w:val="false"/>
          <w:iCs w:val="false"/>
          <w:color w:val="000000"/>
          <w:sz w:val="19"/>
          <w:szCs w:val="19"/>
        </w:rPr>
        <w:t xml:space="preserve">Record decisions and communicate material changes.</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BE4E4"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9C2B2B"/>
                <w:sz w:val="18"/>
                <w:szCs w:val="18"/>
              </w:rPr>
              <w:t xml:space="preserve">⚖  LEGAL &amp; PROFESSIONAL-ADVICE CHECKPOINT</w:t>
            </w:r>
          </w:p>
          <w:p>
            <w:pPr>
              <w:spacing w:after="40" w:before="0" w:line="276"/>
              <w:jc w:val="left"/>
            </w:pPr>
            <w:r>
              <w:rPr>
                <w:rFonts w:ascii="Arial" w:cs="Arial" w:eastAsia="Arial" w:hAnsi="Arial"/>
                <w:b w:val="false"/>
                <w:bCs w:val="false"/>
                <w:i w:val="false"/>
                <w:iCs w:val="false"/>
                <w:color w:val="000000"/>
                <w:sz w:val="19"/>
                <w:szCs w:val="19"/>
              </w:rPr>
              <w:t xml:space="preserve">Expansion, acquisition, merger, franchising, lending, equity investment, long leases, and entry into regulated services change licensing, tax, employment, insurance, safety, data, contract, and financing obligations. Obtain current advice from qualified legal, accounting, insurance, and financial professionals before committing. Use client logos, case studies, photographs, employee stories, and results only with permission and accurate context. This tool identifies operating exposures, not legal ones.</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LASTING LESSON</w:t>
            </w:r>
          </w:p>
          <w:p>
            <w:pPr>
              <w:spacing w:after="40" w:before="0" w:line="276"/>
              <w:jc w:val="left"/>
            </w:pPr>
            <w:r>
              <w:rPr>
                <w:rFonts w:ascii="Arial" w:cs="Arial" w:eastAsia="Arial" w:hAnsi="Arial"/>
                <w:b w:val="false"/>
                <w:bCs w:val="false"/>
                <w:i w:val="false"/>
                <w:iCs w:val="false"/>
                <w:color w:val="000000"/>
                <w:sz w:val="19"/>
                <w:szCs w:val="19"/>
              </w:rPr>
              <w:t xml:space="preserve">A company becomes strategic when it can choose its future without abandoning the operating truth, professional responsibilities, and people that make that future possible.</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2026-07-31T15:58:11.616Z</dcterms:created>
  <dcterms:modified xsi:type="dcterms:W3CDTF">2026-07-31T15:58:11.616Z</dcterms:modified>
</cp:coreProperties>
</file>

<file path=docProps/custom.xml><?xml version="1.0" encoding="utf-8"?>
<Properties xmlns="http://schemas.openxmlformats.org/officeDocument/2006/custom-properties" xmlns:vt="http://schemas.openxmlformats.org/officeDocument/2006/docPropsVTypes"/>
</file>